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CA72" w14:textId="6508E5BA" w:rsidR="000100B2" w:rsidRPr="000100B2" w:rsidRDefault="000100B2" w:rsidP="000100B2">
      <w:pPr>
        <w:spacing w:after="0"/>
        <w:rPr>
          <w:rFonts w:ascii="Arial" w:hAnsi="Arial" w:cs="Arial"/>
          <w:color w:val="000000" w:themeColor="text1"/>
          <w:lang w:val="en-US"/>
        </w:rPr>
      </w:pPr>
      <w:r w:rsidRPr="000100B2">
        <w:rPr>
          <w:rFonts w:ascii="Arial" w:hAnsi="Arial" w:cs="Arial"/>
          <w:noProof/>
          <w:color w:val="000000" w:themeColor="text1"/>
          <w:shd w:val="clear" w:color="auto" w:fill="FFFFFF"/>
        </w:rPr>
        <mc:AlternateContent>
          <mc:Choice Requires="wps">
            <w:drawing>
              <wp:anchor distT="45720" distB="45720" distL="114300" distR="114300" simplePos="0" relativeHeight="251659264" behindDoc="0" locked="0" layoutInCell="1" allowOverlap="1" wp14:anchorId="1777E09B" wp14:editId="1C14756D">
                <wp:simplePos x="0" y="0"/>
                <wp:positionH relativeFrom="page">
                  <wp:align>right</wp:align>
                </wp:positionH>
                <wp:positionV relativeFrom="paragraph">
                  <wp:posOffset>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6DCCF63" w14:textId="60BBC487" w:rsidR="000100B2" w:rsidRDefault="000100B2">
                            <w:r>
                              <w:rPr>
                                <w:noProof/>
                              </w:rPr>
                              <w:drawing>
                                <wp:inline distT="0" distB="0" distL="0" distR="0" wp14:anchorId="770D1F76" wp14:editId="6EEF9B87">
                                  <wp:extent cx="1270000" cy="736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270000" cy="7366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77E09B"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" stroked="f">
                <v:textbox style="mso-fit-shape-to-text:t">
                  <w:txbxContent>
                    <w:p w14:paraId="06DCCF63" w14:textId="60BBC487" w:rsidR="000100B2" w:rsidRDefault="000100B2">
                      <w:r>
                        <w:rPr>
                          <w:noProof/>
                        </w:rPr>
                        <w:drawing>
                          <wp:inline distT="0" distB="0" distL="0" distR="0" wp14:anchorId="770D1F76" wp14:editId="6EEF9B87">
                            <wp:extent cx="1270000" cy="7366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70000" cy="736600"/>
                                    </a:xfrm>
                                    <a:prstGeom prst="rect">
                                      <a:avLst/>
                                    </a:prstGeom>
                                  </pic:spPr>
                                </pic:pic>
                              </a:graphicData>
                            </a:graphic>
                          </wp:inline>
                        </w:drawing>
                      </w:r>
                    </w:p>
                  </w:txbxContent>
                </v:textbox>
                <w10:wrap type="square" anchorx="page"/>
              </v:shape>
            </w:pict>
          </mc:Fallback>
        </mc:AlternateContent>
      </w:r>
      <w:r w:rsidRPr="000100B2">
        <w:rPr>
          <w:rFonts w:ascii="Arial" w:hAnsi="Arial" w:cs="Arial"/>
          <w:color w:val="000000" w:themeColor="text1"/>
          <w:lang w:val="en-US"/>
        </w:rPr>
        <w:t>Solicitors’ Regulation Authority</w:t>
      </w:r>
    </w:p>
    <w:p w14:paraId="078A4F41" w14:textId="2A8FADBD" w:rsidR="000100B2" w:rsidRPr="000100B2" w:rsidRDefault="000100B2" w:rsidP="000100B2">
      <w:pPr>
        <w:spacing w:after="0"/>
        <w:rPr>
          <w:rFonts w:ascii="Arial" w:hAnsi="Arial" w:cs="Arial"/>
          <w:color w:val="000000" w:themeColor="text1"/>
          <w:lang w:val="en-US"/>
        </w:rPr>
      </w:pPr>
      <w:r w:rsidRPr="000100B2">
        <w:rPr>
          <w:rFonts w:ascii="Arial" w:hAnsi="Arial" w:cs="Arial"/>
          <w:color w:val="000000" w:themeColor="text1"/>
          <w:shd w:val="clear" w:color="auto" w:fill="FFFFFF"/>
        </w:rPr>
        <w:t>The Cube</w:t>
      </w:r>
      <w:r w:rsidRPr="000100B2">
        <w:rPr>
          <w:rFonts w:ascii="Arial" w:hAnsi="Arial" w:cs="Arial"/>
          <w:color w:val="000000" w:themeColor="text1"/>
        </w:rPr>
        <w:br/>
      </w:r>
      <w:r w:rsidRPr="000100B2">
        <w:rPr>
          <w:rFonts w:ascii="Arial" w:hAnsi="Arial" w:cs="Arial"/>
          <w:color w:val="000000" w:themeColor="text1"/>
          <w:shd w:val="clear" w:color="auto" w:fill="FFFFFF"/>
        </w:rPr>
        <w:t xml:space="preserve">199 </w:t>
      </w:r>
      <w:proofErr w:type="spellStart"/>
      <w:r w:rsidRPr="000100B2">
        <w:rPr>
          <w:rFonts w:ascii="Arial" w:hAnsi="Arial" w:cs="Arial"/>
          <w:color w:val="000000" w:themeColor="text1"/>
          <w:shd w:val="clear" w:color="auto" w:fill="FFFFFF"/>
        </w:rPr>
        <w:t>Wharfside</w:t>
      </w:r>
      <w:proofErr w:type="spellEnd"/>
      <w:r w:rsidRPr="000100B2">
        <w:rPr>
          <w:rFonts w:ascii="Arial" w:hAnsi="Arial" w:cs="Arial"/>
          <w:color w:val="000000" w:themeColor="text1"/>
          <w:shd w:val="clear" w:color="auto" w:fill="FFFFFF"/>
        </w:rPr>
        <w:t xml:space="preserve"> Street</w:t>
      </w:r>
      <w:r w:rsidRPr="000100B2">
        <w:rPr>
          <w:rFonts w:ascii="Arial" w:hAnsi="Arial" w:cs="Arial"/>
          <w:color w:val="000000" w:themeColor="text1"/>
        </w:rPr>
        <w:br/>
      </w:r>
      <w:r w:rsidRPr="000100B2">
        <w:rPr>
          <w:rFonts w:ascii="Arial" w:hAnsi="Arial" w:cs="Arial"/>
          <w:color w:val="000000" w:themeColor="text1"/>
          <w:shd w:val="clear" w:color="auto" w:fill="FFFFFF"/>
        </w:rPr>
        <w:t>Birmingham</w:t>
      </w:r>
      <w:r w:rsidRPr="000100B2">
        <w:rPr>
          <w:rFonts w:ascii="Arial" w:hAnsi="Arial" w:cs="Arial"/>
          <w:color w:val="000000" w:themeColor="text1"/>
        </w:rPr>
        <w:br/>
      </w:r>
      <w:r w:rsidRPr="000100B2">
        <w:rPr>
          <w:rFonts w:ascii="Arial" w:hAnsi="Arial" w:cs="Arial"/>
          <w:color w:val="000000" w:themeColor="text1"/>
          <w:shd w:val="clear" w:color="auto" w:fill="FFFFFF"/>
        </w:rPr>
        <w:t>B1 1RN</w:t>
      </w:r>
    </w:p>
    <w:p w14:paraId="6DE611E7" w14:textId="77777777" w:rsidR="000100B2" w:rsidRDefault="000100B2">
      <w:pPr>
        <w:rPr>
          <w:rFonts w:ascii="Arial" w:hAnsi="Arial" w:cs="Arial"/>
          <w:lang w:val="en-US"/>
        </w:rPr>
      </w:pPr>
    </w:p>
    <w:p w14:paraId="5B5D9B72" w14:textId="4F131CD3" w:rsidR="000100B2" w:rsidRDefault="000100B2">
      <w:pPr>
        <w:rPr>
          <w:rFonts w:ascii="Arial" w:hAnsi="Arial" w:cs="Arial"/>
          <w:lang w:val="en-US"/>
        </w:rPr>
      </w:pPr>
      <w:r>
        <w:rPr>
          <w:rFonts w:ascii="Arial" w:hAnsi="Arial" w:cs="Arial"/>
          <w:lang w:val="en-US"/>
        </w:rPr>
        <w:t xml:space="preserve">By email only: </w:t>
      </w:r>
      <w:hyperlink r:id="rId9" w:history="1">
        <w:r>
          <w:rPr>
            <w:rStyle w:val="Hyperlink"/>
            <w:rFonts w:ascii="Open Sans" w:hAnsi="Open Sans" w:cs="Open Sans"/>
            <w:color w:val="B50038"/>
            <w:shd w:val="clear" w:color="auto" w:fill="FFFFFF"/>
          </w:rPr>
          <w:t>postsixyear@sra.org.uk</w:t>
        </w:r>
      </w:hyperlink>
    </w:p>
    <w:p w14:paraId="0E58EE78" w14:textId="2E49AC24" w:rsidR="006003B6" w:rsidRPr="007E3AF3" w:rsidRDefault="00EB59DF">
      <w:pPr>
        <w:rPr>
          <w:rFonts w:ascii="Arial" w:hAnsi="Arial" w:cs="Arial"/>
          <w:lang w:val="en-US"/>
        </w:rPr>
      </w:pPr>
      <w:r w:rsidRPr="007E3AF3">
        <w:rPr>
          <w:rFonts w:ascii="Arial" w:hAnsi="Arial" w:cs="Arial"/>
          <w:lang w:val="en-US"/>
        </w:rPr>
        <w:t>Dear Sirs</w:t>
      </w:r>
    </w:p>
    <w:p w14:paraId="164D2BDD" w14:textId="116A7150" w:rsidR="00F65651" w:rsidRPr="007E3AF3" w:rsidRDefault="00EB59DF">
      <w:pPr>
        <w:rPr>
          <w:rFonts w:ascii="Arial" w:hAnsi="Arial" w:cs="Arial"/>
          <w:b/>
          <w:bCs/>
          <w:lang w:val="en-US"/>
        </w:rPr>
      </w:pPr>
      <w:r w:rsidRPr="007E3AF3">
        <w:rPr>
          <w:rFonts w:ascii="Arial" w:hAnsi="Arial" w:cs="Arial"/>
          <w:b/>
          <w:bCs/>
          <w:lang w:val="en-US"/>
        </w:rPr>
        <w:t xml:space="preserve">Consultation on post </w:t>
      </w:r>
      <w:proofErr w:type="gramStart"/>
      <w:r w:rsidRPr="007E3AF3">
        <w:rPr>
          <w:rFonts w:ascii="Arial" w:hAnsi="Arial" w:cs="Arial"/>
          <w:b/>
          <w:bCs/>
          <w:lang w:val="en-US"/>
        </w:rPr>
        <w:t>six year</w:t>
      </w:r>
      <w:proofErr w:type="gramEnd"/>
      <w:r w:rsidRPr="007E3AF3">
        <w:rPr>
          <w:rFonts w:ascii="Arial" w:hAnsi="Arial" w:cs="Arial"/>
          <w:b/>
          <w:bCs/>
          <w:lang w:val="en-US"/>
        </w:rPr>
        <w:t xml:space="preserve"> run-off cover and the Solicitors Indemnity Fund</w:t>
      </w:r>
    </w:p>
    <w:p w14:paraId="3B89B3B9" w14:textId="69C410E1" w:rsidR="00F65651" w:rsidRPr="007E3AF3" w:rsidRDefault="00F65651">
      <w:pPr>
        <w:rPr>
          <w:rFonts w:ascii="Arial" w:hAnsi="Arial" w:cs="Arial"/>
          <w:lang w:val="en-US"/>
        </w:rPr>
      </w:pPr>
      <w:r w:rsidRPr="007E3AF3">
        <w:rPr>
          <w:rFonts w:ascii="Arial" w:hAnsi="Arial" w:cs="Arial"/>
          <w:lang w:val="en-US"/>
        </w:rPr>
        <w:t>We welcome the opportunity to respon</w:t>
      </w:r>
      <w:r w:rsidR="00A67D88" w:rsidRPr="007E3AF3">
        <w:rPr>
          <w:rFonts w:ascii="Arial" w:hAnsi="Arial" w:cs="Arial"/>
          <w:lang w:val="en-US"/>
        </w:rPr>
        <w:t>d</w:t>
      </w:r>
      <w:r w:rsidRPr="007E3AF3">
        <w:rPr>
          <w:rFonts w:ascii="Arial" w:hAnsi="Arial" w:cs="Arial"/>
          <w:lang w:val="en-US"/>
        </w:rPr>
        <w:t xml:space="preserve"> to the Solicitors Regulation Authority</w:t>
      </w:r>
      <w:r w:rsidR="00D23B49" w:rsidRPr="007E3AF3">
        <w:rPr>
          <w:rFonts w:ascii="Arial" w:hAnsi="Arial" w:cs="Arial"/>
          <w:lang w:val="en-US"/>
        </w:rPr>
        <w:t xml:space="preserve"> (SRA)</w:t>
      </w:r>
      <w:r w:rsidRPr="007E3AF3">
        <w:rPr>
          <w:rFonts w:ascii="Arial" w:hAnsi="Arial" w:cs="Arial"/>
          <w:lang w:val="en-US"/>
        </w:rPr>
        <w:t xml:space="preserve"> </w:t>
      </w:r>
      <w:r w:rsidR="008550DE" w:rsidRPr="007E3AF3">
        <w:rPr>
          <w:rFonts w:ascii="Arial" w:hAnsi="Arial" w:cs="Arial"/>
          <w:lang w:val="en-US"/>
        </w:rPr>
        <w:t xml:space="preserve">consultation on post </w:t>
      </w:r>
      <w:proofErr w:type="gramStart"/>
      <w:r w:rsidR="008550DE" w:rsidRPr="007E3AF3">
        <w:rPr>
          <w:rFonts w:ascii="Arial" w:hAnsi="Arial" w:cs="Arial"/>
          <w:lang w:val="en-US"/>
        </w:rPr>
        <w:t>six year</w:t>
      </w:r>
      <w:proofErr w:type="gramEnd"/>
      <w:r w:rsidR="008550DE" w:rsidRPr="007E3AF3">
        <w:rPr>
          <w:rFonts w:ascii="Arial" w:hAnsi="Arial" w:cs="Arial"/>
          <w:lang w:val="en-US"/>
        </w:rPr>
        <w:t xml:space="preserve"> run-off cover and the Solicitors’ Indemnity Fund. </w:t>
      </w:r>
      <w:r w:rsidR="00A67D88" w:rsidRPr="007E3AF3">
        <w:rPr>
          <w:rFonts w:ascii="Arial" w:hAnsi="Arial" w:cs="Arial"/>
          <w:lang w:val="en-US"/>
        </w:rPr>
        <w:t xml:space="preserve">In responding to this </w:t>
      </w:r>
      <w:proofErr w:type="gramStart"/>
      <w:r w:rsidR="00A67D88" w:rsidRPr="007E3AF3">
        <w:rPr>
          <w:rFonts w:ascii="Arial" w:hAnsi="Arial" w:cs="Arial"/>
          <w:lang w:val="en-US"/>
        </w:rPr>
        <w:t>consultation</w:t>
      </w:r>
      <w:proofErr w:type="gramEnd"/>
      <w:r w:rsidR="00A67D88" w:rsidRPr="007E3AF3">
        <w:rPr>
          <w:rFonts w:ascii="Arial" w:hAnsi="Arial" w:cs="Arial"/>
          <w:lang w:val="en-US"/>
        </w:rPr>
        <w:t xml:space="preserve"> we have considered the impact of the proposals on personal injury claimants. </w:t>
      </w:r>
    </w:p>
    <w:p w14:paraId="667036AF" w14:textId="2F111987" w:rsidR="00EB59DF" w:rsidRPr="007E3AF3" w:rsidRDefault="00651415">
      <w:pPr>
        <w:rPr>
          <w:rFonts w:ascii="Arial" w:hAnsi="Arial" w:cs="Arial"/>
          <w:lang w:val="en-US"/>
        </w:rPr>
      </w:pPr>
      <w:r w:rsidRPr="007E3AF3">
        <w:rPr>
          <w:rFonts w:ascii="Arial" w:hAnsi="Arial" w:cs="Arial"/>
          <w:lang w:val="en-US"/>
        </w:rPr>
        <w:t>Those who are injured through another’s negligence should receive full compensation which puts them, as close as possible, to the position they were in prior to the negligent incident. Solicitors must hold a</w:t>
      </w:r>
      <w:r w:rsidR="00EB59DF" w:rsidRPr="007E3AF3">
        <w:rPr>
          <w:rFonts w:ascii="Arial" w:hAnsi="Arial" w:cs="Arial"/>
          <w:lang w:val="en-US"/>
        </w:rPr>
        <w:t xml:space="preserve">ppropriate </w:t>
      </w:r>
      <w:r w:rsidR="008F4AC4" w:rsidRPr="007E3AF3">
        <w:rPr>
          <w:rFonts w:ascii="Arial" w:hAnsi="Arial" w:cs="Arial"/>
          <w:lang w:val="en-US"/>
        </w:rPr>
        <w:t xml:space="preserve">professional indemnity insurance </w:t>
      </w:r>
      <w:r w:rsidR="00B01C4F">
        <w:rPr>
          <w:rFonts w:ascii="Arial" w:hAnsi="Arial" w:cs="Arial"/>
          <w:lang w:val="en-US"/>
        </w:rPr>
        <w:t xml:space="preserve">(PII) </w:t>
      </w:r>
      <w:r w:rsidR="008F4AC4" w:rsidRPr="007E3AF3">
        <w:rPr>
          <w:rFonts w:ascii="Arial" w:hAnsi="Arial" w:cs="Arial"/>
          <w:lang w:val="en-US"/>
        </w:rPr>
        <w:t xml:space="preserve">to ensure that should there be </w:t>
      </w:r>
      <w:r w:rsidRPr="007E3AF3">
        <w:rPr>
          <w:rFonts w:ascii="Arial" w:hAnsi="Arial" w:cs="Arial"/>
          <w:lang w:val="en-US"/>
        </w:rPr>
        <w:t xml:space="preserve">professional </w:t>
      </w:r>
      <w:r w:rsidR="008F4AC4" w:rsidRPr="007E3AF3">
        <w:rPr>
          <w:rFonts w:ascii="Arial" w:hAnsi="Arial" w:cs="Arial"/>
          <w:lang w:val="en-US"/>
        </w:rPr>
        <w:t xml:space="preserve">negligence in the handling of a case, a person who is injured will </w:t>
      </w:r>
      <w:r w:rsidRPr="007E3AF3">
        <w:rPr>
          <w:rFonts w:ascii="Arial" w:hAnsi="Arial" w:cs="Arial"/>
          <w:lang w:val="en-US"/>
        </w:rPr>
        <w:t xml:space="preserve">still receive </w:t>
      </w:r>
      <w:r w:rsidR="008F4AC4" w:rsidRPr="007E3AF3">
        <w:rPr>
          <w:rFonts w:ascii="Arial" w:hAnsi="Arial" w:cs="Arial"/>
          <w:lang w:val="en-US"/>
        </w:rPr>
        <w:t>full compensation</w:t>
      </w:r>
      <w:r w:rsidR="00B01C4F">
        <w:rPr>
          <w:rFonts w:ascii="Arial" w:hAnsi="Arial" w:cs="Arial"/>
          <w:lang w:val="en-US"/>
        </w:rPr>
        <w:t xml:space="preserve"> for their injuries and will be compensated for any losses that they have suffered as a result of the professional negligence</w:t>
      </w:r>
      <w:r w:rsidR="008F4AC4" w:rsidRPr="007E3AF3">
        <w:rPr>
          <w:rFonts w:ascii="Arial" w:hAnsi="Arial" w:cs="Arial"/>
          <w:lang w:val="en-US"/>
        </w:rPr>
        <w:t xml:space="preserve">. </w:t>
      </w:r>
      <w:bookmarkStart w:id="0" w:name="_Hlk95399893"/>
      <w:bookmarkStart w:id="1" w:name="_Hlk95399993"/>
      <w:r w:rsidR="00B01C4F">
        <w:rPr>
          <w:rFonts w:ascii="Arial" w:hAnsi="Arial" w:cs="Arial"/>
          <w:lang w:val="en-US"/>
        </w:rPr>
        <w:t>The</w:t>
      </w:r>
      <w:r w:rsidRPr="007E3AF3">
        <w:rPr>
          <w:rFonts w:ascii="Arial" w:hAnsi="Arial" w:cs="Arial"/>
          <w:lang w:val="en-US"/>
        </w:rPr>
        <w:t xml:space="preserve"> SRA plays an important role in maintaining</w:t>
      </w:r>
      <w:r w:rsidR="00B01C4F">
        <w:rPr>
          <w:rFonts w:ascii="Arial" w:hAnsi="Arial" w:cs="Arial"/>
          <w:lang w:val="en-US"/>
        </w:rPr>
        <w:t xml:space="preserve"> the</w:t>
      </w:r>
      <w:r w:rsidRPr="007E3AF3">
        <w:rPr>
          <w:rFonts w:ascii="Arial" w:hAnsi="Arial" w:cs="Arial"/>
          <w:lang w:val="en-US"/>
        </w:rPr>
        <w:t xml:space="preserve"> full compensation</w:t>
      </w:r>
      <w:r w:rsidR="00B01C4F">
        <w:rPr>
          <w:rFonts w:ascii="Arial" w:hAnsi="Arial" w:cs="Arial"/>
          <w:lang w:val="en-US"/>
        </w:rPr>
        <w:t xml:space="preserve"> principle</w:t>
      </w:r>
      <w:r w:rsidRPr="007E3AF3">
        <w:rPr>
          <w:rFonts w:ascii="Arial" w:hAnsi="Arial" w:cs="Arial"/>
          <w:lang w:val="en-US"/>
        </w:rPr>
        <w:t>, via the Solicitors Indemnity Fund and the Compensation Fund, providing protection</w:t>
      </w:r>
      <w:r w:rsidR="00B01C4F">
        <w:rPr>
          <w:rFonts w:ascii="Arial" w:hAnsi="Arial" w:cs="Arial"/>
          <w:lang w:val="en-US"/>
        </w:rPr>
        <w:t xml:space="preserve"> for clients</w:t>
      </w:r>
      <w:r w:rsidRPr="007E3AF3">
        <w:rPr>
          <w:rFonts w:ascii="Arial" w:hAnsi="Arial" w:cs="Arial"/>
          <w:lang w:val="en-US"/>
        </w:rPr>
        <w:t xml:space="preserve"> where</w:t>
      </w:r>
      <w:r w:rsidR="005A5D90" w:rsidRPr="007E3AF3">
        <w:rPr>
          <w:rFonts w:ascii="Arial" w:hAnsi="Arial" w:cs="Arial"/>
          <w:lang w:val="en-US"/>
        </w:rPr>
        <w:t xml:space="preserve">, for example, </w:t>
      </w:r>
      <w:r w:rsidRPr="007E3AF3">
        <w:rPr>
          <w:rFonts w:ascii="Arial" w:hAnsi="Arial" w:cs="Arial"/>
          <w:lang w:val="en-US"/>
        </w:rPr>
        <w:t>the solicitor acts dishonest</w:t>
      </w:r>
      <w:r w:rsidR="00B01C4F">
        <w:rPr>
          <w:rFonts w:ascii="Arial" w:hAnsi="Arial" w:cs="Arial"/>
          <w:lang w:val="en-US"/>
        </w:rPr>
        <w:t>l</w:t>
      </w:r>
      <w:r w:rsidRPr="007E3AF3">
        <w:rPr>
          <w:rFonts w:ascii="Arial" w:hAnsi="Arial" w:cs="Arial"/>
          <w:lang w:val="en-US"/>
        </w:rPr>
        <w:t>y</w:t>
      </w:r>
      <w:r w:rsidR="005A5D90" w:rsidRPr="007E3AF3">
        <w:rPr>
          <w:rFonts w:ascii="Arial" w:hAnsi="Arial" w:cs="Arial"/>
          <w:lang w:val="en-US"/>
        </w:rPr>
        <w:t>;</w:t>
      </w:r>
      <w:r w:rsidRPr="007E3AF3">
        <w:rPr>
          <w:rFonts w:ascii="Arial" w:hAnsi="Arial" w:cs="Arial"/>
          <w:lang w:val="en-US"/>
        </w:rPr>
        <w:t xml:space="preserve"> does not hold PII</w:t>
      </w:r>
      <w:r w:rsidR="005A5D90" w:rsidRPr="007E3AF3">
        <w:rPr>
          <w:rFonts w:ascii="Arial" w:hAnsi="Arial" w:cs="Arial"/>
          <w:lang w:val="en-US"/>
        </w:rPr>
        <w:t>;</w:t>
      </w:r>
      <w:r w:rsidRPr="007E3AF3">
        <w:rPr>
          <w:rFonts w:ascii="Arial" w:hAnsi="Arial" w:cs="Arial"/>
          <w:lang w:val="en-US"/>
        </w:rPr>
        <w:t xml:space="preserve"> or a claim is brought </w:t>
      </w:r>
      <w:r w:rsidR="005A5D90" w:rsidRPr="007E3AF3">
        <w:rPr>
          <w:rFonts w:ascii="Arial" w:hAnsi="Arial" w:cs="Arial"/>
          <w:lang w:val="en-US"/>
        </w:rPr>
        <w:t>six years</w:t>
      </w:r>
      <w:r w:rsidR="000628DB">
        <w:rPr>
          <w:rFonts w:ascii="Arial" w:hAnsi="Arial" w:cs="Arial"/>
          <w:lang w:val="en-US"/>
        </w:rPr>
        <w:t xml:space="preserve"> after a firm has closed</w:t>
      </w:r>
      <w:r w:rsidRPr="007E3AF3">
        <w:rPr>
          <w:rFonts w:ascii="Arial" w:hAnsi="Arial" w:cs="Arial"/>
          <w:lang w:val="en-US"/>
        </w:rPr>
        <w:t xml:space="preserve"> and </w:t>
      </w:r>
      <w:r w:rsidR="005A5D90" w:rsidRPr="007E3AF3">
        <w:rPr>
          <w:rFonts w:ascii="Arial" w:hAnsi="Arial" w:cs="Arial"/>
          <w:lang w:val="en-US"/>
        </w:rPr>
        <w:t xml:space="preserve">so </w:t>
      </w:r>
      <w:r w:rsidRPr="007E3AF3">
        <w:rPr>
          <w:rFonts w:ascii="Arial" w:hAnsi="Arial" w:cs="Arial"/>
          <w:lang w:val="en-US"/>
        </w:rPr>
        <w:t xml:space="preserve">is not covered by professional indemnity insurance policies on the market. Regarding the latter, </w:t>
      </w:r>
      <w:bookmarkStart w:id="2" w:name="_Hlk95395864"/>
      <w:r w:rsidRPr="007E3AF3">
        <w:rPr>
          <w:rFonts w:ascii="Arial" w:hAnsi="Arial" w:cs="Arial"/>
          <w:lang w:val="en-US"/>
        </w:rPr>
        <w:t>t</w:t>
      </w:r>
      <w:r w:rsidR="004A2397" w:rsidRPr="007E3AF3">
        <w:rPr>
          <w:rFonts w:ascii="Arial" w:hAnsi="Arial" w:cs="Arial"/>
          <w:lang w:val="en-US"/>
        </w:rPr>
        <w:t xml:space="preserve">he </w:t>
      </w:r>
      <w:r w:rsidRPr="007E3AF3">
        <w:rPr>
          <w:rFonts w:ascii="Arial" w:hAnsi="Arial" w:cs="Arial"/>
          <w:lang w:val="en-US"/>
        </w:rPr>
        <w:t xml:space="preserve">proposed </w:t>
      </w:r>
      <w:r w:rsidR="004A2397" w:rsidRPr="007E3AF3">
        <w:rPr>
          <w:rFonts w:ascii="Arial" w:hAnsi="Arial" w:cs="Arial"/>
          <w:lang w:val="en-US"/>
        </w:rPr>
        <w:t>removal of post six year run off cover</w:t>
      </w:r>
      <w:r w:rsidR="00F65651" w:rsidRPr="007E3AF3">
        <w:rPr>
          <w:rFonts w:ascii="Arial" w:hAnsi="Arial" w:cs="Arial"/>
          <w:lang w:val="en-US"/>
        </w:rPr>
        <w:t xml:space="preserve"> (PSYROC)</w:t>
      </w:r>
      <w:r w:rsidR="004A2397" w:rsidRPr="007E3AF3">
        <w:rPr>
          <w:rFonts w:ascii="Arial" w:hAnsi="Arial" w:cs="Arial"/>
          <w:lang w:val="en-US"/>
        </w:rPr>
        <w:t xml:space="preserve"> </w:t>
      </w:r>
      <w:r w:rsidR="005A5D90" w:rsidRPr="007E3AF3">
        <w:rPr>
          <w:rFonts w:ascii="Arial" w:hAnsi="Arial" w:cs="Arial"/>
          <w:lang w:val="en-US"/>
        </w:rPr>
        <w:t xml:space="preserve">provided through the Solicitors’ Indemnity Fund </w:t>
      </w:r>
      <w:r w:rsidR="004A2397" w:rsidRPr="007E3AF3">
        <w:rPr>
          <w:rFonts w:ascii="Arial" w:hAnsi="Arial" w:cs="Arial"/>
          <w:lang w:val="en-US"/>
        </w:rPr>
        <w:t>would mean that those who wish</w:t>
      </w:r>
      <w:r w:rsidR="00F65651" w:rsidRPr="007E3AF3">
        <w:rPr>
          <w:rFonts w:ascii="Arial" w:hAnsi="Arial" w:cs="Arial"/>
          <w:lang w:val="en-US"/>
        </w:rPr>
        <w:t>, and are permitted,</w:t>
      </w:r>
      <w:r w:rsidR="004A2397" w:rsidRPr="007E3AF3">
        <w:rPr>
          <w:rFonts w:ascii="Arial" w:hAnsi="Arial" w:cs="Arial"/>
          <w:lang w:val="en-US"/>
        </w:rPr>
        <w:t xml:space="preserve"> to bring a professional negligence claim</w:t>
      </w:r>
      <w:r w:rsidR="000628DB">
        <w:rPr>
          <w:rFonts w:ascii="Arial" w:hAnsi="Arial" w:cs="Arial"/>
          <w:lang w:val="en-US"/>
        </w:rPr>
        <w:t xml:space="preserve"> a</w:t>
      </w:r>
      <w:r w:rsidR="007D0CAB">
        <w:rPr>
          <w:rFonts w:ascii="Arial" w:hAnsi="Arial" w:cs="Arial"/>
          <w:lang w:val="en-US"/>
        </w:rPr>
        <w:t xml:space="preserve">gainst a </w:t>
      </w:r>
      <w:r w:rsidR="00F24271">
        <w:rPr>
          <w:rFonts w:ascii="Arial" w:hAnsi="Arial" w:cs="Arial"/>
          <w:lang w:val="en-US"/>
        </w:rPr>
        <w:t>firm</w:t>
      </w:r>
      <w:r w:rsidR="007D0CAB">
        <w:rPr>
          <w:rFonts w:ascii="Arial" w:hAnsi="Arial" w:cs="Arial"/>
          <w:lang w:val="en-US"/>
        </w:rPr>
        <w:t xml:space="preserve"> which</w:t>
      </w:r>
      <w:r w:rsidR="00F24271">
        <w:rPr>
          <w:rFonts w:ascii="Arial" w:hAnsi="Arial" w:cs="Arial"/>
          <w:lang w:val="en-US"/>
        </w:rPr>
        <w:t xml:space="preserve"> closed more than six years ago,</w:t>
      </w:r>
      <w:r w:rsidR="000628DB">
        <w:rPr>
          <w:rFonts w:ascii="Arial" w:hAnsi="Arial" w:cs="Arial"/>
          <w:lang w:val="en-US"/>
        </w:rPr>
        <w:t xml:space="preserve"> </w:t>
      </w:r>
      <w:r w:rsidR="004A2397" w:rsidRPr="007E3AF3">
        <w:rPr>
          <w:rFonts w:ascii="Arial" w:hAnsi="Arial" w:cs="Arial"/>
          <w:lang w:val="en-US"/>
        </w:rPr>
        <w:t>would be un</w:t>
      </w:r>
      <w:r w:rsidR="005A5D90" w:rsidRPr="007E3AF3">
        <w:rPr>
          <w:rFonts w:ascii="Arial" w:hAnsi="Arial" w:cs="Arial"/>
          <w:lang w:val="en-US"/>
        </w:rPr>
        <w:t xml:space="preserve">likely to be able to do so. </w:t>
      </w:r>
      <w:bookmarkEnd w:id="0"/>
      <w:r w:rsidR="005A5D90" w:rsidRPr="007E3AF3">
        <w:rPr>
          <w:rFonts w:ascii="Arial" w:hAnsi="Arial" w:cs="Arial"/>
          <w:lang w:val="en-US"/>
        </w:rPr>
        <w:t>The claimant will then be left uncompensated or undercompensated for their losses as a result of the professional negligence</w:t>
      </w:r>
      <w:r w:rsidR="00D23B49" w:rsidRPr="007E3AF3">
        <w:rPr>
          <w:rFonts w:ascii="Arial" w:hAnsi="Arial" w:cs="Arial"/>
          <w:lang w:val="en-US"/>
        </w:rPr>
        <w:t>. Personal injury claimants will be denied full compensation for their injuries, either because they will have to cover the losses they have suffered as a result of the professional negligence with the damages they were awarded for their injuries, or because the professional negligence led them to be awarded less compensation than they should have been for their injuries.</w:t>
      </w:r>
      <w:r w:rsidR="004A2397" w:rsidRPr="007E3AF3">
        <w:rPr>
          <w:rFonts w:ascii="Arial" w:hAnsi="Arial" w:cs="Arial"/>
          <w:lang w:val="en-US"/>
        </w:rPr>
        <w:t xml:space="preserve"> </w:t>
      </w:r>
      <w:bookmarkEnd w:id="2"/>
    </w:p>
    <w:bookmarkEnd w:id="1"/>
    <w:p w14:paraId="6B03AD3E" w14:textId="46BB4A30" w:rsidR="004A2397" w:rsidRPr="007E3AF3" w:rsidRDefault="004A2397">
      <w:pPr>
        <w:rPr>
          <w:rFonts w:ascii="Arial" w:hAnsi="Arial" w:cs="Arial"/>
          <w:lang w:val="en-US"/>
        </w:rPr>
      </w:pPr>
      <w:r w:rsidRPr="007E3AF3">
        <w:rPr>
          <w:rFonts w:ascii="Arial" w:hAnsi="Arial" w:cs="Arial"/>
          <w:lang w:val="en-US"/>
        </w:rPr>
        <w:t>We agree with the virtual reference group that PSYROC should be maintained for the whole profession, and disagree with the reasoning behind the proposed removal. At paragraph 57</w:t>
      </w:r>
      <w:r w:rsidR="00D23B49" w:rsidRPr="007E3AF3">
        <w:rPr>
          <w:rFonts w:ascii="Arial" w:hAnsi="Arial" w:cs="Arial"/>
          <w:lang w:val="en-US"/>
        </w:rPr>
        <w:t xml:space="preserve"> of the consultation</w:t>
      </w:r>
      <w:r w:rsidRPr="007E3AF3">
        <w:rPr>
          <w:rFonts w:ascii="Arial" w:hAnsi="Arial" w:cs="Arial"/>
          <w:lang w:val="en-US"/>
        </w:rPr>
        <w:t xml:space="preserve">, the SRA sets out that they do not consider that any future decision not to provide ongoing PSYROC will have significant market impacts, including in relation to access to justice. We disagree. While 90 per cent of run off claims may be made within the </w:t>
      </w:r>
      <w:proofErr w:type="gramStart"/>
      <w:r w:rsidRPr="007E3AF3">
        <w:rPr>
          <w:rFonts w:ascii="Arial" w:hAnsi="Arial" w:cs="Arial"/>
          <w:lang w:val="en-US"/>
        </w:rPr>
        <w:t>six year</w:t>
      </w:r>
      <w:proofErr w:type="gramEnd"/>
      <w:r w:rsidRPr="007E3AF3">
        <w:rPr>
          <w:rFonts w:ascii="Arial" w:hAnsi="Arial" w:cs="Arial"/>
          <w:lang w:val="en-US"/>
        </w:rPr>
        <w:t xml:space="preserve"> period, this means 10 per cent are not – that 10 per cent will be left undercompensated,</w:t>
      </w:r>
      <w:r w:rsidR="00D23B49" w:rsidRPr="007E3AF3">
        <w:rPr>
          <w:rFonts w:ascii="Arial" w:hAnsi="Arial" w:cs="Arial"/>
          <w:lang w:val="en-US"/>
        </w:rPr>
        <w:t xml:space="preserve"> as explained in the paragraph above,</w:t>
      </w:r>
      <w:r w:rsidRPr="007E3AF3">
        <w:rPr>
          <w:rFonts w:ascii="Arial" w:hAnsi="Arial" w:cs="Arial"/>
          <w:lang w:val="en-US"/>
        </w:rPr>
        <w:t xml:space="preserve"> </w:t>
      </w:r>
      <w:r w:rsidR="00D23B49" w:rsidRPr="007E3AF3">
        <w:rPr>
          <w:rFonts w:ascii="Arial" w:hAnsi="Arial" w:cs="Arial"/>
          <w:lang w:val="en-US"/>
        </w:rPr>
        <w:t>which is certainly a threat to access to justice</w:t>
      </w:r>
      <w:r w:rsidRPr="007E3AF3">
        <w:rPr>
          <w:rFonts w:ascii="Arial" w:hAnsi="Arial" w:cs="Arial"/>
          <w:lang w:val="en-US"/>
        </w:rPr>
        <w:t xml:space="preserve">. </w:t>
      </w:r>
    </w:p>
    <w:p w14:paraId="14BFA681" w14:textId="69EA4E23" w:rsidR="00332B53" w:rsidRPr="007E3AF3" w:rsidRDefault="00332B53">
      <w:pPr>
        <w:rPr>
          <w:rFonts w:ascii="Arial" w:hAnsi="Arial" w:cs="Arial"/>
          <w:lang w:val="en-US"/>
        </w:rPr>
      </w:pPr>
      <w:r w:rsidRPr="007E3AF3">
        <w:rPr>
          <w:rFonts w:ascii="Arial" w:hAnsi="Arial" w:cs="Arial"/>
          <w:lang w:val="en-US"/>
        </w:rPr>
        <w:t xml:space="preserve">We also disagree with the reasoning that because cost is a more significant driver of whether a consumer will purchase a legal service than provision of legal redress should something go wrong, </w:t>
      </w:r>
      <w:r w:rsidR="00D23B49" w:rsidRPr="007E3AF3">
        <w:rPr>
          <w:rFonts w:ascii="Arial" w:hAnsi="Arial" w:cs="Arial"/>
          <w:lang w:val="en-US"/>
        </w:rPr>
        <w:t>PSYROC should no longer be provided due to the</w:t>
      </w:r>
      <w:r w:rsidRPr="007E3AF3">
        <w:rPr>
          <w:rFonts w:ascii="Arial" w:hAnsi="Arial" w:cs="Arial"/>
          <w:lang w:val="en-US"/>
        </w:rPr>
        <w:t xml:space="preserve"> potential increase in costs of legal services as a result of ongoing provision</w:t>
      </w:r>
      <w:r w:rsidR="00124B2C" w:rsidRPr="007E3AF3">
        <w:rPr>
          <w:rFonts w:ascii="Arial" w:hAnsi="Arial" w:cs="Arial"/>
          <w:lang w:val="en-US"/>
        </w:rPr>
        <w:t>. As we have set out in several consultation responses to the Legal Services Board, price should not be the deciding factor</w:t>
      </w:r>
      <w:r w:rsidR="00D23B49" w:rsidRPr="007E3AF3">
        <w:rPr>
          <w:rFonts w:ascii="Arial" w:hAnsi="Arial" w:cs="Arial"/>
          <w:lang w:val="en-US"/>
        </w:rPr>
        <w:t xml:space="preserve"> when people choose a legal services provider</w:t>
      </w:r>
      <w:r w:rsidR="00124B2C" w:rsidRPr="007E3AF3">
        <w:rPr>
          <w:rFonts w:ascii="Arial" w:hAnsi="Arial" w:cs="Arial"/>
          <w:lang w:val="en-US"/>
        </w:rPr>
        <w:t xml:space="preserve"> – people need to be properly educated and </w:t>
      </w:r>
      <w:r w:rsidR="00124B2C" w:rsidRPr="007E3AF3">
        <w:rPr>
          <w:rFonts w:ascii="Arial" w:hAnsi="Arial" w:cs="Arial"/>
          <w:lang w:val="en-US"/>
        </w:rPr>
        <w:lastRenderedPageBreak/>
        <w:t>empowered to make the right choice of legal provider, based on</w:t>
      </w:r>
      <w:r w:rsidR="00D23B49" w:rsidRPr="007E3AF3">
        <w:rPr>
          <w:rFonts w:ascii="Arial" w:hAnsi="Arial" w:cs="Arial"/>
          <w:lang w:val="en-US"/>
        </w:rPr>
        <w:t xml:space="preserve"> a variety of information which indicates competence and quality service</w:t>
      </w:r>
      <w:r w:rsidR="00124B2C" w:rsidRPr="007E3AF3">
        <w:rPr>
          <w:rFonts w:ascii="Arial" w:hAnsi="Arial" w:cs="Arial"/>
          <w:lang w:val="en-US"/>
        </w:rPr>
        <w:t xml:space="preserve">. </w:t>
      </w:r>
      <w:r w:rsidR="007E3AF3">
        <w:rPr>
          <w:rFonts w:ascii="Arial" w:hAnsi="Arial" w:cs="Arial"/>
          <w:lang w:val="en-US"/>
        </w:rPr>
        <w:t xml:space="preserve">The provision of financial protection and compensation to consumers of legal services should something go wrong is vital, and should not be taken away </w:t>
      </w:r>
      <w:r w:rsidR="0079493E">
        <w:rPr>
          <w:rFonts w:ascii="Arial" w:hAnsi="Arial" w:cs="Arial"/>
          <w:lang w:val="en-US"/>
        </w:rPr>
        <w:t xml:space="preserve">simply </w:t>
      </w:r>
      <w:r w:rsidR="007E3AF3">
        <w:rPr>
          <w:rFonts w:ascii="Arial" w:hAnsi="Arial" w:cs="Arial"/>
          <w:lang w:val="en-US"/>
        </w:rPr>
        <w:t xml:space="preserve">because consumers </w:t>
      </w:r>
      <w:r w:rsidR="00B01C4F">
        <w:rPr>
          <w:rFonts w:ascii="Arial" w:hAnsi="Arial" w:cs="Arial"/>
          <w:lang w:val="en-US"/>
        </w:rPr>
        <w:t xml:space="preserve">may not be </w:t>
      </w:r>
      <w:r w:rsidR="007E3AF3">
        <w:rPr>
          <w:rFonts w:ascii="Arial" w:hAnsi="Arial" w:cs="Arial"/>
          <w:lang w:val="en-US"/>
        </w:rPr>
        <w:t xml:space="preserve">properly informed of </w:t>
      </w:r>
      <w:r w:rsidR="0079493E">
        <w:rPr>
          <w:rFonts w:ascii="Arial" w:hAnsi="Arial" w:cs="Arial"/>
          <w:lang w:val="en-US"/>
        </w:rPr>
        <w:t xml:space="preserve">the benefits of such provision. </w:t>
      </w:r>
      <w:r w:rsidR="007E3AF3">
        <w:rPr>
          <w:rFonts w:ascii="Arial" w:hAnsi="Arial" w:cs="Arial"/>
          <w:lang w:val="en-US"/>
        </w:rPr>
        <w:t xml:space="preserve">   </w:t>
      </w:r>
    </w:p>
    <w:p w14:paraId="72D4E6AF" w14:textId="6BFA2D2D" w:rsidR="00124B2C" w:rsidRPr="007E3AF3" w:rsidRDefault="00124B2C">
      <w:pPr>
        <w:rPr>
          <w:rFonts w:ascii="Arial" w:hAnsi="Arial" w:cs="Arial"/>
          <w:lang w:val="en-US"/>
        </w:rPr>
      </w:pPr>
      <w:r w:rsidRPr="007E3AF3">
        <w:rPr>
          <w:rFonts w:ascii="Arial" w:hAnsi="Arial" w:cs="Arial"/>
          <w:lang w:val="en-US"/>
        </w:rPr>
        <w:t>We acknowledge the difficulties in providing run off cover via the Solicitors Indemn</w:t>
      </w:r>
      <w:r w:rsidR="007E3AF3" w:rsidRPr="007E3AF3">
        <w:rPr>
          <w:rFonts w:ascii="Arial" w:hAnsi="Arial" w:cs="Arial"/>
          <w:lang w:val="en-US"/>
        </w:rPr>
        <w:t>it</w:t>
      </w:r>
      <w:r w:rsidRPr="007E3AF3">
        <w:rPr>
          <w:rFonts w:ascii="Arial" w:hAnsi="Arial" w:cs="Arial"/>
          <w:lang w:val="en-US"/>
        </w:rPr>
        <w:t xml:space="preserve">y Fund, and the challenges of implementing alternative provision, but we do not believe that the answer is to remove run off cover completely. It is vital that those who are injured can obtain full compensation for their injuries, and removing run off cover jeopardises this principle. </w:t>
      </w:r>
    </w:p>
    <w:p w14:paraId="47448654" w14:textId="17A8B056" w:rsidR="00124B2C" w:rsidRPr="007E3AF3" w:rsidRDefault="00124B2C">
      <w:pPr>
        <w:rPr>
          <w:rFonts w:ascii="Arial" w:hAnsi="Arial" w:cs="Arial"/>
          <w:lang w:val="en-US"/>
        </w:rPr>
      </w:pPr>
      <w:r w:rsidRPr="007E3AF3">
        <w:rPr>
          <w:rFonts w:ascii="Arial" w:hAnsi="Arial" w:cs="Arial"/>
          <w:lang w:val="en-US"/>
        </w:rPr>
        <w:t xml:space="preserve">We hope that our comments prove useful. If you would like to discuss our comments further, please </w:t>
      </w:r>
      <w:r w:rsidR="00651415" w:rsidRPr="007E3AF3">
        <w:rPr>
          <w:rFonts w:ascii="Arial" w:hAnsi="Arial" w:cs="Arial"/>
          <w:lang w:val="en-US"/>
        </w:rPr>
        <w:t xml:space="preserve">contact Alice Taylor, </w:t>
      </w:r>
      <w:hyperlink r:id="rId10" w:history="1">
        <w:r w:rsidR="00651415" w:rsidRPr="007E3AF3">
          <w:rPr>
            <w:rStyle w:val="Hyperlink"/>
            <w:rFonts w:ascii="Arial" w:hAnsi="Arial" w:cs="Arial"/>
            <w:lang w:val="en-US"/>
          </w:rPr>
          <w:t>alice.taylor@apil.org.uk</w:t>
        </w:r>
      </w:hyperlink>
      <w:r w:rsidR="00651415" w:rsidRPr="007E3AF3">
        <w:rPr>
          <w:rFonts w:ascii="Arial" w:hAnsi="Arial" w:cs="Arial"/>
          <w:lang w:val="en-US"/>
        </w:rPr>
        <w:t xml:space="preserve"> in the first instance. </w:t>
      </w:r>
    </w:p>
    <w:p w14:paraId="3D8194CE" w14:textId="23510212" w:rsidR="00651415" w:rsidRPr="007E3AF3" w:rsidRDefault="00651415">
      <w:pPr>
        <w:rPr>
          <w:rFonts w:ascii="Arial" w:hAnsi="Arial" w:cs="Arial"/>
          <w:lang w:val="en-US"/>
        </w:rPr>
      </w:pPr>
      <w:r w:rsidRPr="007E3AF3">
        <w:rPr>
          <w:rFonts w:ascii="Arial" w:hAnsi="Arial" w:cs="Arial"/>
          <w:lang w:val="en-US"/>
        </w:rPr>
        <w:t>Yours faithfully</w:t>
      </w:r>
    </w:p>
    <w:p w14:paraId="75C93FA2" w14:textId="2386F7ED" w:rsidR="00651415" w:rsidRPr="007E3AF3" w:rsidRDefault="000100B2">
      <w:pPr>
        <w:rPr>
          <w:rFonts w:ascii="Arial" w:hAnsi="Arial" w:cs="Arial"/>
          <w:lang w:val="en-US"/>
        </w:rPr>
      </w:pPr>
      <w:r>
        <w:rPr>
          <w:rFonts w:ascii="Arial" w:hAnsi="Arial" w:cs="Arial"/>
          <w:noProof/>
          <w:lang w:val="en-US"/>
        </w:rPr>
        <w:drawing>
          <wp:inline distT="0" distB="0" distL="0" distR="0" wp14:anchorId="0BE1FC05" wp14:editId="72021172">
            <wp:extent cx="1554480" cy="70893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4233" cy="713379"/>
                    </a:xfrm>
                    <a:prstGeom prst="rect">
                      <a:avLst/>
                    </a:prstGeom>
                  </pic:spPr>
                </pic:pic>
              </a:graphicData>
            </a:graphic>
          </wp:inline>
        </w:drawing>
      </w:r>
    </w:p>
    <w:p w14:paraId="0C7031E1" w14:textId="4736313F" w:rsidR="00651415" w:rsidRPr="007E3AF3" w:rsidRDefault="00651415">
      <w:pPr>
        <w:rPr>
          <w:rFonts w:ascii="Arial" w:hAnsi="Arial" w:cs="Arial"/>
          <w:lang w:val="en-US"/>
        </w:rPr>
      </w:pPr>
    </w:p>
    <w:p w14:paraId="050C13AF" w14:textId="78DDB46B" w:rsidR="00651415" w:rsidRPr="007E3AF3" w:rsidRDefault="00651415">
      <w:pPr>
        <w:rPr>
          <w:rFonts w:ascii="Arial" w:hAnsi="Arial" w:cs="Arial"/>
          <w:lang w:val="en-US"/>
        </w:rPr>
      </w:pPr>
      <w:r w:rsidRPr="007E3AF3">
        <w:rPr>
          <w:rFonts w:ascii="Arial" w:hAnsi="Arial" w:cs="Arial"/>
          <w:lang w:val="en-US"/>
        </w:rPr>
        <w:t>Alice Taylor</w:t>
      </w:r>
    </w:p>
    <w:p w14:paraId="6C5F662D" w14:textId="3321D048" w:rsidR="00651415" w:rsidRPr="007E3AF3" w:rsidRDefault="00651415">
      <w:pPr>
        <w:rPr>
          <w:rFonts w:ascii="Arial" w:hAnsi="Arial" w:cs="Arial"/>
          <w:lang w:val="en-US"/>
        </w:rPr>
      </w:pPr>
      <w:r w:rsidRPr="007E3AF3">
        <w:rPr>
          <w:rFonts w:ascii="Arial" w:hAnsi="Arial" w:cs="Arial"/>
          <w:lang w:val="en-US"/>
        </w:rPr>
        <w:t>Legal Policy Manager</w:t>
      </w:r>
    </w:p>
    <w:p w14:paraId="33402816" w14:textId="07AC143E" w:rsidR="00651415" w:rsidRPr="007E3AF3" w:rsidRDefault="00651415">
      <w:pPr>
        <w:rPr>
          <w:rFonts w:ascii="Arial" w:hAnsi="Arial" w:cs="Arial"/>
          <w:lang w:val="en-US"/>
        </w:rPr>
      </w:pPr>
      <w:r w:rsidRPr="007E3AF3">
        <w:rPr>
          <w:rFonts w:ascii="Arial" w:hAnsi="Arial" w:cs="Arial"/>
          <w:lang w:val="en-US"/>
        </w:rPr>
        <w:t>APIL</w:t>
      </w:r>
    </w:p>
    <w:p w14:paraId="6F913E3E" w14:textId="77777777" w:rsidR="00651415" w:rsidRPr="00EB59DF" w:rsidRDefault="00651415">
      <w:pPr>
        <w:rPr>
          <w:lang w:val="en-US"/>
        </w:rPr>
      </w:pPr>
    </w:p>
    <w:sectPr w:rsidR="00651415" w:rsidRPr="00EB59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42D52" w14:textId="77777777" w:rsidR="00B33DDD" w:rsidRDefault="00B33DDD" w:rsidP="00A42C84">
      <w:pPr>
        <w:spacing w:after="0" w:line="240" w:lineRule="auto"/>
      </w:pPr>
      <w:r>
        <w:separator/>
      </w:r>
    </w:p>
  </w:endnote>
  <w:endnote w:type="continuationSeparator" w:id="0">
    <w:p w14:paraId="0A229CAF" w14:textId="77777777" w:rsidR="00B33DDD" w:rsidRDefault="00B33DDD" w:rsidP="00A4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A825" w14:textId="77777777" w:rsidR="00B33DDD" w:rsidRDefault="00B33DDD" w:rsidP="00A42C84">
      <w:pPr>
        <w:spacing w:after="0" w:line="240" w:lineRule="auto"/>
      </w:pPr>
      <w:r>
        <w:separator/>
      </w:r>
    </w:p>
  </w:footnote>
  <w:footnote w:type="continuationSeparator" w:id="0">
    <w:p w14:paraId="00D09FD0" w14:textId="77777777" w:rsidR="00B33DDD" w:rsidRDefault="00B33DDD" w:rsidP="00A42C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DF"/>
    <w:rsid w:val="000100B2"/>
    <w:rsid w:val="000628DB"/>
    <w:rsid w:val="00124B2C"/>
    <w:rsid w:val="00332B53"/>
    <w:rsid w:val="004A2397"/>
    <w:rsid w:val="005A5D90"/>
    <w:rsid w:val="006003B6"/>
    <w:rsid w:val="00651415"/>
    <w:rsid w:val="0079493E"/>
    <w:rsid w:val="007D0CAB"/>
    <w:rsid w:val="007E3AF3"/>
    <w:rsid w:val="008550DE"/>
    <w:rsid w:val="008F4AC4"/>
    <w:rsid w:val="00A35804"/>
    <w:rsid w:val="00A42C84"/>
    <w:rsid w:val="00A67D88"/>
    <w:rsid w:val="00B01C4F"/>
    <w:rsid w:val="00B33DDD"/>
    <w:rsid w:val="00D23B49"/>
    <w:rsid w:val="00DA464E"/>
    <w:rsid w:val="00EB59DF"/>
    <w:rsid w:val="00F24271"/>
    <w:rsid w:val="00F65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24EC"/>
  <w15:chartTrackingRefBased/>
  <w15:docId w15:val="{F40C5740-6FB2-4EF5-9C3B-140CA072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1415"/>
    <w:rPr>
      <w:color w:val="0563C1" w:themeColor="hyperlink"/>
      <w:u w:val="single"/>
    </w:rPr>
  </w:style>
  <w:style w:type="character" w:styleId="UnresolvedMention">
    <w:name w:val="Unresolved Mention"/>
    <w:basedOn w:val="DefaultParagraphFont"/>
    <w:uiPriority w:val="99"/>
    <w:semiHidden/>
    <w:unhideWhenUsed/>
    <w:rsid w:val="00651415"/>
    <w:rPr>
      <w:color w:val="605E5C"/>
      <w:shd w:val="clear" w:color="auto" w:fill="E1DFDD"/>
    </w:rPr>
  </w:style>
  <w:style w:type="paragraph" w:styleId="Header">
    <w:name w:val="header"/>
    <w:basedOn w:val="Normal"/>
    <w:link w:val="HeaderChar"/>
    <w:uiPriority w:val="99"/>
    <w:unhideWhenUsed/>
    <w:rsid w:val="00A42C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C84"/>
  </w:style>
  <w:style w:type="paragraph" w:styleId="Footer">
    <w:name w:val="footer"/>
    <w:basedOn w:val="Normal"/>
    <w:link w:val="FooterChar"/>
    <w:uiPriority w:val="99"/>
    <w:unhideWhenUsed/>
    <w:rsid w:val="00A42C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80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mailto:alice.taylor@apil.org.uk" TargetMode="External"/><Relationship Id="rId4" Type="http://schemas.openxmlformats.org/officeDocument/2006/relationships/webSettings" Target="webSettings.xml"/><Relationship Id="rId9" Type="http://schemas.openxmlformats.org/officeDocument/2006/relationships/hyperlink" Target="mailto:postsixyear@s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BB277-E591-4844-B58E-E4D2ED10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Taylor</dc:creator>
  <cp:keywords/>
  <dc:description/>
  <cp:lastModifiedBy>Alice Taylor</cp:lastModifiedBy>
  <cp:revision>2</cp:revision>
  <dcterms:created xsi:type="dcterms:W3CDTF">2022-02-10T15:53:00Z</dcterms:created>
  <dcterms:modified xsi:type="dcterms:W3CDTF">2022-02-10T15:53:00Z</dcterms:modified>
</cp:coreProperties>
</file>