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2724" w14:textId="05033B5C" w:rsidR="00F0426F" w:rsidRPr="003D4E19" w:rsidRDefault="00555ABE" w:rsidP="003D4E19">
      <w:pPr>
        <w:rPr>
          <w:rFonts w:ascii="Arial" w:hAnsi="Arial" w:cs="Arial"/>
          <w:lang w:val="en-US"/>
        </w:rPr>
      </w:pPr>
      <w:r w:rsidRPr="00555ABE">
        <w:rPr>
          <w:rFonts w:ascii="Arial" w:hAnsi="Arial" w:cs="Arial"/>
          <w:b/>
          <w:bCs/>
          <w:noProof/>
          <w:lang w:val="en-US"/>
        </w:rPr>
        <mc:AlternateContent>
          <mc:Choice Requires="wps">
            <w:drawing>
              <wp:anchor distT="45720" distB="45720" distL="114300" distR="114300" simplePos="0" relativeHeight="251667456" behindDoc="0" locked="0" layoutInCell="1" allowOverlap="1" wp14:anchorId="2902C42A" wp14:editId="09C9266B">
                <wp:simplePos x="0" y="0"/>
                <wp:positionH relativeFrom="column">
                  <wp:posOffset>4325620</wp:posOffset>
                </wp:positionH>
                <wp:positionV relativeFrom="paragraph">
                  <wp:posOffset>7620</wp:posOffset>
                </wp:positionV>
                <wp:extent cx="236093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8021BE" w14:textId="2EC0CB67" w:rsidR="00555ABE" w:rsidRDefault="00555ABE">
                            <w:r>
                              <w:rPr>
                                <w:noProof/>
                              </w:rPr>
                              <w:drawing>
                                <wp:inline distT="0" distB="0" distL="0" distR="0" wp14:anchorId="3547FC58" wp14:editId="7E7483FB">
                                  <wp:extent cx="1270000" cy="7366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270000" cy="7366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02C42A" id="_x0000_t202" coordsize="21600,21600" o:spt="202" path="m,l,21600r21600,l21600,xe">
                <v:stroke joinstyle="miter"/>
                <v:path gradientshapeok="t" o:connecttype="rect"/>
              </v:shapetype>
              <v:shape id="Text Box 2" o:spid="_x0000_s1026" type="#_x0000_t202" style="position:absolute;margin-left:340.6pt;margin-top:.6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" stroked="f">
                <v:textbox style="mso-fit-shape-to-text:t">
                  <w:txbxContent>
                    <w:p w14:paraId="038021BE" w14:textId="2EC0CB67" w:rsidR="00555ABE" w:rsidRDefault="00555ABE">
                      <w:r>
                        <w:rPr>
                          <w:noProof/>
                        </w:rPr>
                        <w:drawing>
                          <wp:inline distT="0" distB="0" distL="0" distR="0" wp14:anchorId="3547FC58" wp14:editId="7E7483FB">
                            <wp:extent cx="1270000" cy="7366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270000" cy="736600"/>
                                    </a:xfrm>
                                    <a:prstGeom prst="rect">
                                      <a:avLst/>
                                    </a:prstGeom>
                                  </pic:spPr>
                                </pic:pic>
                              </a:graphicData>
                            </a:graphic>
                          </wp:inline>
                        </w:drawing>
                      </w:r>
                    </w:p>
                  </w:txbxContent>
                </v:textbox>
                <w10:wrap type="square"/>
              </v:shape>
            </w:pict>
          </mc:Fallback>
        </mc:AlternateContent>
      </w:r>
    </w:p>
    <w:p w14:paraId="0FDA7ECA" w14:textId="77777777" w:rsidR="007F5A04" w:rsidRDefault="007F5A04" w:rsidP="003D4E19">
      <w:pPr>
        <w:rPr>
          <w:rFonts w:ascii="Arial" w:hAnsi="Arial" w:cs="Arial"/>
          <w:b/>
          <w:bCs/>
          <w:lang w:val="en-US"/>
        </w:rPr>
      </w:pPr>
      <w:r>
        <w:rPr>
          <w:rFonts w:ascii="Arial" w:hAnsi="Arial" w:cs="Arial"/>
          <w:b/>
          <w:bCs/>
          <w:lang w:val="en-US"/>
        </w:rPr>
        <w:t>Ministry of Justice</w:t>
      </w:r>
    </w:p>
    <w:p w14:paraId="0CDB3C76" w14:textId="1859AA40" w:rsidR="007F5A04" w:rsidRDefault="007F5A04" w:rsidP="003D4E19">
      <w:pPr>
        <w:rPr>
          <w:rFonts w:ascii="Arial" w:hAnsi="Arial" w:cs="Arial"/>
          <w:b/>
          <w:bCs/>
          <w:lang w:val="en-US"/>
        </w:rPr>
      </w:pPr>
      <w:r w:rsidRPr="007F5A04">
        <w:rPr>
          <w:rFonts w:ascii="Arial" w:hAnsi="Arial" w:cs="Arial"/>
          <w:b/>
          <w:bCs/>
          <w:lang w:val="en-US"/>
        </w:rPr>
        <w:t>Human Rights Act Reform</w:t>
      </w:r>
      <w:r>
        <w:rPr>
          <w:rFonts w:ascii="Arial" w:hAnsi="Arial" w:cs="Arial"/>
          <w:b/>
          <w:bCs/>
          <w:lang w:val="en-US"/>
        </w:rPr>
        <w:t xml:space="preserve"> - </w:t>
      </w:r>
      <w:r w:rsidRPr="007F5A04">
        <w:rPr>
          <w:rFonts w:ascii="Arial" w:hAnsi="Arial" w:cs="Arial"/>
          <w:b/>
          <w:bCs/>
          <w:lang w:val="en-US"/>
        </w:rPr>
        <w:t xml:space="preserve">A Modern Bill of Rights </w:t>
      </w:r>
    </w:p>
    <w:p w14:paraId="2F90B278" w14:textId="77777777" w:rsidR="007F5A04" w:rsidRDefault="007F5A04" w:rsidP="003D4E19">
      <w:pPr>
        <w:rPr>
          <w:rFonts w:ascii="Arial" w:hAnsi="Arial" w:cs="Arial"/>
          <w:b/>
          <w:bCs/>
          <w:lang w:val="en-US"/>
        </w:rPr>
      </w:pPr>
    </w:p>
    <w:p w14:paraId="012E6B6F" w14:textId="0C7A0980" w:rsidR="007F5A04" w:rsidRDefault="007F5A04" w:rsidP="003D4E19">
      <w:pPr>
        <w:rPr>
          <w:rFonts w:ascii="Arial" w:hAnsi="Arial" w:cs="Arial"/>
          <w:b/>
          <w:bCs/>
          <w:lang w:val="en-US"/>
        </w:rPr>
      </w:pPr>
      <w:r>
        <w:rPr>
          <w:rFonts w:ascii="Arial" w:hAnsi="Arial" w:cs="Arial"/>
          <w:b/>
          <w:bCs/>
          <w:lang w:val="en-US"/>
        </w:rPr>
        <w:t xml:space="preserve">A response by the Association of Personal Injury Lawyers </w:t>
      </w:r>
    </w:p>
    <w:p w14:paraId="40CB3237" w14:textId="06070DDF" w:rsidR="00555ABE" w:rsidRDefault="00555ABE" w:rsidP="003D4E19">
      <w:pPr>
        <w:rPr>
          <w:rFonts w:ascii="Arial" w:hAnsi="Arial" w:cs="Arial"/>
          <w:b/>
          <w:bCs/>
          <w:lang w:val="en-US"/>
        </w:rPr>
      </w:pPr>
      <w:r>
        <w:rPr>
          <w:rFonts w:ascii="Arial" w:hAnsi="Arial" w:cs="Arial"/>
          <w:b/>
          <w:bCs/>
          <w:lang w:val="en-US"/>
        </w:rPr>
        <w:t>March 2022</w:t>
      </w:r>
    </w:p>
    <w:p w14:paraId="57ABDEC1" w14:textId="77777777" w:rsidR="00555ABE" w:rsidRDefault="00555ABE" w:rsidP="003D4E19">
      <w:pPr>
        <w:rPr>
          <w:rFonts w:ascii="Arial" w:hAnsi="Arial" w:cs="Arial"/>
          <w:b/>
          <w:bCs/>
          <w:lang w:val="en-US"/>
        </w:rPr>
      </w:pPr>
    </w:p>
    <w:p w14:paraId="2C94AFD8" w14:textId="5D1B7398" w:rsidR="00A76773" w:rsidRPr="00A76773" w:rsidRDefault="00A76773" w:rsidP="003D4E19">
      <w:pPr>
        <w:rPr>
          <w:rFonts w:ascii="Arial" w:hAnsi="Arial" w:cs="Arial"/>
          <w:b/>
          <w:bCs/>
          <w:lang w:val="en-US"/>
        </w:rPr>
      </w:pPr>
      <w:r>
        <w:rPr>
          <w:rFonts w:ascii="Arial" w:hAnsi="Arial" w:cs="Arial"/>
          <w:b/>
          <w:bCs/>
          <w:lang w:val="en-US"/>
        </w:rPr>
        <w:t>Introduction</w:t>
      </w:r>
    </w:p>
    <w:p w14:paraId="20987992" w14:textId="5859237B" w:rsidR="00F206EE" w:rsidRDefault="00F0426F" w:rsidP="003D4E19">
      <w:pPr>
        <w:rPr>
          <w:rFonts w:ascii="Arial" w:hAnsi="Arial" w:cs="Arial"/>
          <w:lang w:val="en-US"/>
        </w:rPr>
      </w:pPr>
      <w:r w:rsidRPr="003D4E19">
        <w:rPr>
          <w:rFonts w:ascii="Arial" w:hAnsi="Arial" w:cs="Arial"/>
          <w:lang w:val="en-US"/>
        </w:rPr>
        <w:t>We welcome the opportunity to respond to the Government’s consultation on</w:t>
      </w:r>
      <w:r w:rsidR="00C1231D" w:rsidRPr="003D4E19">
        <w:rPr>
          <w:rFonts w:ascii="Arial" w:hAnsi="Arial" w:cs="Arial"/>
          <w:lang w:val="en-US"/>
        </w:rPr>
        <w:t xml:space="preserve"> reform of the</w:t>
      </w:r>
      <w:r w:rsidRPr="003D4E19">
        <w:rPr>
          <w:rFonts w:ascii="Arial" w:hAnsi="Arial" w:cs="Arial"/>
          <w:lang w:val="en-US"/>
        </w:rPr>
        <w:t xml:space="preserve"> Human Rights Act. We are providing comments on the proposals and content in the consultation from a personal injury perspective, as this is where our members’ expertise lies. We will provide comments on the importance of human rights claims relating to</w:t>
      </w:r>
      <w:r w:rsidR="00E94CC2">
        <w:rPr>
          <w:rFonts w:ascii="Arial" w:hAnsi="Arial" w:cs="Arial"/>
          <w:lang w:val="en-US"/>
        </w:rPr>
        <w:t xml:space="preserve"> </w:t>
      </w:r>
      <w:r w:rsidRPr="003D4E19">
        <w:rPr>
          <w:rFonts w:ascii="Arial" w:hAnsi="Arial" w:cs="Arial"/>
          <w:lang w:val="en-US"/>
        </w:rPr>
        <w:t>military claims</w:t>
      </w:r>
      <w:r w:rsidR="00FF2C1E">
        <w:rPr>
          <w:rFonts w:ascii="Arial" w:hAnsi="Arial" w:cs="Arial"/>
          <w:lang w:val="en-US"/>
        </w:rPr>
        <w:t>, abuse claims and clinical negligence claims</w:t>
      </w:r>
      <w:r w:rsidRPr="003D4E19">
        <w:rPr>
          <w:rFonts w:ascii="Arial" w:hAnsi="Arial" w:cs="Arial"/>
          <w:lang w:val="en-US"/>
        </w:rPr>
        <w:t xml:space="preserve">, and set out why the ability of claimants in these areas to bring a human rights claim should not be fettered. </w:t>
      </w:r>
      <w:r w:rsidR="00471FA9">
        <w:rPr>
          <w:rFonts w:ascii="Arial" w:hAnsi="Arial" w:cs="Arial"/>
          <w:lang w:val="en-US"/>
        </w:rPr>
        <w:t>The proposed changes would be detrimental to access to justice, and are unnecessary and likely to create uncertainty and satellite litigation.</w:t>
      </w:r>
    </w:p>
    <w:p w14:paraId="55F65A0F" w14:textId="7E80E4B2" w:rsidR="00471FA9" w:rsidRPr="00471FA9" w:rsidRDefault="00471FA9" w:rsidP="003D4E19">
      <w:pPr>
        <w:rPr>
          <w:rFonts w:ascii="Arial" w:hAnsi="Arial" w:cs="Arial"/>
          <w:b/>
          <w:bCs/>
          <w:lang w:val="en-US"/>
        </w:rPr>
      </w:pPr>
      <w:r>
        <w:rPr>
          <w:rFonts w:ascii="Arial" w:hAnsi="Arial" w:cs="Arial"/>
          <w:b/>
          <w:bCs/>
          <w:lang w:val="en-US"/>
        </w:rPr>
        <w:t>Overview</w:t>
      </w:r>
    </w:p>
    <w:p w14:paraId="147CA53E" w14:textId="0C8121AE" w:rsidR="00F206EE" w:rsidRPr="003D4E19" w:rsidRDefault="00F206EE" w:rsidP="00F206EE">
      <w:pPr>
        <w:rPr>
          <w:rFonts w:ascii="Arial" w:hAnsi="Arial" w:cs="Arial"/>
          <w:lang w:val="en-US"/>
        </w:rPr>
      </w:pPr>
      <w:r>
        <w:rPr>
          <w:rFonts w:ascii="Arial" w:hAnsi="Arial" w:cs="Arial"/>
          <w:lang w:val="en-US"/>
        </w:rPr>
        <w:t>The Human Rights Act protects the most fundamental rights for all individuals and these rights</w:t>
      </w:r>
      <w:r w:rsidR="007140D3">
        <w:rPr>
          <w:rFonts w:ascii="Arial" w:hAnsi="Arial" w:cs="Arial"/>
          <w:lang w:val="en-US"/>
        </w:rPr>
        <w:t xml:space="preserve"> must</w:t>
      </w:r>
      <w:r>
        <w:rPr>
          <w:rFonts w:ascii="Arial" w:hAnsi="Arial" w:cs="Arial"/>
          <w:lang w:val="en-US"/>
        </w:rPr>
        <w:t xml:space="preserve"> remain protected.  </w:t>
      </w:r>
      <w:r w:rsidRPr="003D4E19">
        <w:rPr>
          <w:rFonts w:ascii="Arial" w:hAnsi="Arial" w:cs="Arial"/>
          <w:lang w:val="en-US"/>
        </w:rPr>
        <w:t xml:space="preserve">The consultation focuses on </w:t>
      </w:r>
      <w:r>
        <w:rPr>
          <w:rFonts w:ascii="Arial" w:hAnsi="Arial" w:cs="Arial"/>
          <w:lang w:val="en-US"/>
        </w:rPr>
        <w:t>reducing the</w:t>
      </w:r>
      <w:r w:rsidRPr="003D4E19">
        <w:rPr>
          <w:rFonts w:ascii="Arial" w:hAnsi="Arial" w:cs="Arial"/>
          <w:lang w:val="en-US"/>
        </w:rPr>
        <w:t xml:space="preserve"> positive obligations on </w:t>
      </w:r>
      <w:r>
        <w:rPr>
          <w:rFonts w:ascii="Arial" w:hAnsi="Arial" w:cs="Arial"/>
          <w:lang w:val="en-US"/>
        </w:rPr>
        <w:t>public bodies</w:t>
      </w:r>
      <w:r w:rsidRPr="003D4E19">
        <w:rPr>
          <w:rFonts w:ascii="Arial" w:hAnsi="Arial" w:cs="Arial"/>
          <w:lang w:val="en-US"/>
        </w:rPr>
        <w:t xml:space="preserve"> to protect human rights and reducing the remedies available to people when human rights are breached. </w:t>
      </w:r>
      <w:r w:rsidR="00FF2C1E">
        <w:rPr>
          <w:rFonts w:ascii="Arial" w:hAnsi="Arial" w:cs="Arial"/>
          <w:lang w:val="en-US"/>
        </w:rPr>
        <w:t>It is extremely important that those positive obligations on public bodies to protect rights remain. Human rights are rendered meaningless, effectively, if public bodies are no longer required to take steps to safeguard against breaches of those rights. In addition to proposals to reduce positive obligations, there is</w:t>
      </w:r>
      <w:r w:rsidR="007140D3">
        <w:rPr>
          <w:rFonts w:ascii="Arial" w:hAnsi="Arial" w:cs="Arial"/>
          <w:lang w:val="en-US"/>
        </w:rPr>
        <w:t xml:space="preserve"> </w:t>
      </w:r>
      <w:r w:rsidRPr="003D4E19">
        <w:rPr>
          <w:rFonts w:ascii="Arial" w:hAnsi="Arial" w:cs="Arial"/>
          <w:lang w:val="en-US"/>
        </w:rPr>
        <w:t>no mention within the consultation of how human rights breaches can</w:t>
      </w:r>
      <w:r w:rsidR="002924C1">
        <w:rPr>
          <w:rFonts w:ascii="Arial" w:hAnsi="Arial" w:cs="Arial"/>
          <w:lang w:val="en-US"/>
        </w:rPr>
        <w:t xml:space="preserve"> or should</w:t>
      </w:r>
      <w:r w:rsidRPr="003D4E19">
        <w:rPr>
          <w:rFonts w:ascii="Arial" w:hAnsi="Arial" w:cs="Arial"/>
          <w:lang w:val="en-US"/>
        </w:rPr>
        <w:t xml:space="preserve"> be prevente</w:t>
      </w:r>
      <w:r w:rsidR="0044221F">
        <w:rPr>
          <w:rFonts w:ascii="Arial" w:hAnsi="Arial" w:cs="Arial"/>
          <w:lang w:val="en-US"/>
        </w:rPr>
        <w:t>d</w:t>
      </w:r>
      <w:r w:rsidR="00471FA9">
        <w:rPr>
          <w:rFonts w:ascii="Arial" w:hAnsi="Arial" w:cs="Arial"/>
          <w:lang w:val="en-US"/>
        </w:rPr>
        <w:t>.</w:t>
      </w:r>
      <w:r w:rsidR="00197761">
        <w:rPr>
          <w:rFonts w:ascii="Arial" w:hAnsi="Arial" w:cs="Arial"/>
          <w:lang w:val="en-US"/>
        </w:rPr>
        <w:t xml:space="preserve"> </w:t>
      </w:r>
      <w:r w:rsidR="007140D3">
        <w:rPr>
          <w:rFonts w:ascii="Arial" w:hAnsi="Arial" w:cs="Arial"/>
          <w:lang w:val="en-US"/>
        </w:rPr>
        <w:t xml:space="preserve">There should be a focus on prevention of breaches, rather than a reduction in the scope of rights. </w:t>
      </w:r>
    </w:p>
    <w:p w14:paraId="0CDBEEC7" w14:textId="7AA2DF24" w:rsidR="00FB4926" w:rsidRPr="00EE2AEF" w:rsidRDefault="00F0426F" w:rsidP="003D4E19">
      <w:pPr>
        <w:rPr>
          <w:rFonts w:ascii="Arial" w:hAnsi="Arial" w:cs="Arial"/>
          <w:lang w:val="en-US"/>
        </w:rPr>
      </w:pPr>
      <w:r w:rsidRPr="003D4E19">
        <w:rPr>
          <w:rFonts w:ascii="Arial" w:hAnsi="Arial" w:cs="Arial"/>
          <w:lang w:val="en-US"/>
        </w:rPr>
        <w:t xml:space="preserve">Throughout the consultation, there are indications that human rights claims are easily brought and won, and claims brought under the </w:t>
      </w:r>
      <w:r w:rsidR="00471FA9">
        <w:rPr>
          <w:rFonts w:ascii="Arial" w:hAnsi="Arial" w:cs="Arial"/>
          <w:lang w:val="en-US"/>
        </w:rPr>
        <w:t xml:space="preserve">Human Rights </w:t>
      </w:r>
      <w:r w:rsidRPr="003D4E19">
        <w:rPr>
          <w:rFonts w:ascii="Arial" w:hAnsi="Arial" w:cs="Arial"/>
          <w:lang w:val="en-US"/>
        </w:rPr>
        <w:t xml:space="preserve">Act are largely unmeritorious. This </w:t>
      </w:r>
      <w:r w:rsidR="0044221F" w:rsidRPr="0044221F">
        <w:rPr>
          <w:rFonts w:ascii="Arial" w:hAnsi="Arial" w:cs="Arial"/>
          <w:lang w:val="en-US"/>
        </w:rPr>
        <w:t>is</w:t>
      </w:r>
      <w:r w:rsidR="0044221F">
        <w:rPr>
          <w:rFonts w:ascii="Arial" w:hAnsi="Arial" w:cs="Arial"/>
          <w:color w:val="0070C0"/>
          <w:lang w:val="en-US"/>
        </w:rPr>
        <w:t xml:space="preserve"> </w:t>
      </w:r>
      <w:r w:rsidR="007140D3" w:rsidRPr="0043641F">
        <w:rPr>
          <w:rFonts w:ascii="Arial" w:hAnsi="Arial" w:cs="Arial"/>
          <w:lang w:val="en-US"/>
        </w:rPr>
        <w:t xml:space="preserve">far </w:t>
      </w:r>
      <w:r w:rsidRPr="003D4E19">
        <w:rPr>
          <w:rFonts w:ascii="Arial" w:hAnsi="Arial" w:cs="Arial"/>
          <w:lang w:val="en-US"/>
        </w:rPr>
        <w:t xml:space="preserve">from the case </w:t>
      </w:r>
      <w:r w:rsidR="009F0980" w:rsidRPr="003D4E19">
        <w:rPr>
          <w:rFonts w:ascii="Arial" w:hAnsi="Arial" w:cs="Arial"/>
          <w:lang w:val="en-US"/>
        </w:rPr>
        <w:t>in relation to those claims brought by personal injury claimants</w:t>
      </w:r>
      <w:r w:rsidR="007140D3">
        <w:rPr>
          <w:rFonts w:ascii="Arial" w:hAnsi="Arial" w:cs="Arial"/>
          <w:lang w:val="en-US"/>
        </w:rPr>
        <w:t>.</w:t>
      </w:r>
      <w:r w:rsidR="0043641F">
        <w:rPr>
          <w:rFonts w:ascii="Arial" w:hAnsi="Arial" w:cs="Arial"/>
          <w:lang w:val="en-US"/>
        </w:rPr>
        <w:t xml:space="preserve"> </w:t>
      </w:r>
      <w:r w:rsidR="00EE2AEF">
        <w:rPr>
          <w:rFonts w:ascii="Arial" w:hAnsi="Arial" w:cs="Arial"/>
          <w:lang w:val="en-US"/>
        </w:rPr>
        <w:t>There are also comments throughout the consultation that the ability to bring a human rights claim creates uncertainty for public bodies. This is not the case in our members’ experience. The law surrounding Article 2</w:t>
      </w:r>
      <w:r w:rsidR="0043641F">
        <w:rPr>
          <w:rFonts w:ascii="Arial" w:hAnsi="Arial" w:cs="Arial"/>
          <w:lang w:val="en-US"/>
        </w:rPr>
        <w:t xml:space="preserve"> in a medical setting</w:t>
      </w:r>
      <w:r w:rsidR="00EE2AEF">
        <w:rPr>
          <w:rFonts w:ascii="Arial" w:hAnsi="Arial" w:cs="Arial"/>
          <w:lang w:val="en-US"/>
        </w:rPr>
        <w:t xml:space="preserve">, for example, </w:t>
      </w:r>
      <w:r w:rsidR="007140D3">
        <w:rPr>
          <w:rFonts w:ascii="Arial" w:hAnsi="Arial" w:cs="Arial"/>
          <w:lang w:val="en-US"/>
        </w:rPr>
        <w:t>establishes</w:t>
      </w:r>
      <w:r w:rsidR="00EE2AEF">
        <w:rPr>
          <w:rFonts w:ascii="Arial" w:hAnsi="Arial" w:cs="Arial"/>
          <w:lang w:val="en-US"/>
        </w:rPr>
        <w:t xml:space="preserve"> a high threshold to prove a breach, but the law is settled and provides certainty. Changes to the way that these claims can be brought will undo this certainty and create satellite litigation.  </w:t>
      </w:r>
    </w:p>
    <w:p w14:paraId="10FAEF62" w14:textId="53BC34D6" w:rsidR="00471FA9" w:rsidRDefault="00F0426F" w:rsidP="00552B4A">
      <w:pPr>
        <w:jc w:val="both"/>
        <w:rPr>
          <w:rFonts w:ascii="Arial" w:hAnsi="Arial" w:cs="Arial"/>
          <w:lang w:val="en-US"/>
        </w:rPr>
      </w:pPr>
      <w:r w:rsidRPr="003D4E19">
        <w:rPr>
          <w:rFonts w:ascii="Arial" w:hAnsi="Arial" w:cs="Arial"/>
          <w:lang w:val="en-US"/>
        </w:rPr>
        <w:t>There is</w:t>
      </w:r>
      <w:r w:rsidR="00C1231D" w:rsidRPr="003D4E19">
        <w:rPr>
          <w:rFonts w:ascii="Arial" w:hAnsi="Arial" w:cs="Arial"/>
          <w:lang w:val="en-US"/>
        </w:rPr>
        <w:t xml:space="preserve"> a</w:t>
      </w:r>
      <w:r w:rsidR="00471FA9">
        <w:rPr>
          <w:rFonts w:ascii="Arial" w:hAnsi="Arial" w:cs="Arial"/>
          <w:lang w:val="en-US"/>
        </w:rPr>
        <w:t xml:space="preserve">nother </w:t>
      </w:r>
      <w:r w:rsidRPr="003D4E19">
        <w:rPr>
          <w:rFonts w:ascii="Arial" w:hAnsi="Arial" w:cs="Arial"/>
          <w:lang w:val="en-US"/>
        </w:rPr>
        <w:t xml:space="preserve">common theme in the consultation that the </w:t>
      </w:r>
      <w:r w:rsidR="00C1231D" w:rsidRPr="003D4E19">
        <w:rPr>
          <w:rFonts w:ascii="Arial" w:hAnsi="Arial" w:cs="Arial"/>
          <w:lang w:val="en-US"/>
        </w:rPr>
        <w:t>development of human rights law</w:t>
      </w:r>
      <w:r w:rsidRPr="003D4E19">
        <w:rPr>
          <w:rFonts w:ascii="Arial" w:hAnsi="Arial" w:cs="Arial"/>
          <w:lang w:val="en-US"/>
        </w:rPr>
        <w:t xml:space="preserve"> </w:t>
      </w:r>
      <w:r w:rsidR="00C1231D" w:rsidRPr="003D4E19">
        <w:rPr>
          <w:rFonts w:ascii="Arial" w:hAnsi="Arial" w:cs="Arial"/>
          <w:lang w:val="en-US"/>
        </w:rPr>
        <w:t xml:space="preserve">has </w:t>
      </w:r>
      <w:r w:rsidRPr="003D4E19">
        <w:rPr>
          <w:rFonts w:ascii="Arial" w:hAnsi="Arial" w:cs="Arial"/>
          <w:lang w:val="en-US"/>
        </w:rPr>
        <w:t xml:space="preserve">caused increased litigation. </w:t>
      </w:r>
      <w:r w:rsidR="0043641F">
        <w:rPr>
          <w:rFonts w:ascii="Arial" w:hAnsi="Arial" w:cs="Arial"/>
          <w:lang w:val="en-US"/>
        </w:rPr>
        <w:t>L</w:t>
      </w:r>
      <w:r w:rsidRPr="003D4E19">
        <w:rPr>
          <w:rFonts w:ascii="Arial" w:hAnsi="Arial" w:cs="Arial"/>
          <w:lang w:val="en-US"/>
        </w:rPr>
        <w:t xml:space="preserve">itigation provides an important </w:t>
      </w:r>
      <w:r w:rsidR="00AC1494" w:rsidRPr="0044221F">
        <w:rPr>
          <w:rFonts w:ascii="Arial" w:hAnsi="Arial" w:cs="Arial"/>
          <w:lang w:val="en-US"/>
        </w:rPr>
        <w:t>system</w:t>
      </w:r>
      <w:r w:rsidR="00AC1494">
        <w:rPr>
          <w:rFonts w:ascii="Arial" w:hAnsi="Arial" w:cs="Arial"/>
          <w:lang w:val="en-US"/>
        </w:rPr>
        <w:t xml:space="preserve"> of </w:t>
      </w:r>
      <w:r w:rsidRPr="003D4E19">
        <w:rPr>
          <w:rFonts w:ascii="Arial" w:hAnsi="Arial" w:cs="Arial"/>
          <w:lang w:val="en-US"/>
        </w:rPr>
        <w:t>check</w:t>
      </w:r>
      <w:r w:rsidR="00AC1494" w:rsidRPr="0044221F">
        <w:rPr>
          <w:rFonts w:ascii="Arial" w:hAnsi="Arial" w:cs="Arial"/>
          <w:lang w:val="en-US"/>
        </w:rPr>
        <w:t>s</w:t>
      </w:r>
      <w:r w:rsidRPr="003D4E19">
        <w:rPr>
          <w:rFonts w:ascii="Arial" w:hAnsi="Arial" w:cs="Arial"/>
          <w:lang w:val="en-US"/>
        </w:rPr>
        <w:t xml:space="preserve"> and balance</w:t>
      </w:r>
      <w:r w:rsidR="00AC1494" w:rsidRPr="0044221F">
        <w:rPr>
          <w:rFonts w:ascii="Arial" w:hAnsi="Arial" w:cs="Arial"/>
          <w:lang w:val="en-US"/>
        </w:rPr>
        <w:t>s</w:t>
      </w:r>
      <w:r w:rsidR="00C1231D" w:rsidRPr="003D4E19">
        <w:rPr>
          <w:rFonts w:ascii="Arial" w:hAnsi="Arial" w:cs="Arial"/>
          <w:lang w:val="en-US"/>
        </w:rPr>
        <w:t xml:space="preserve">, </w:t>
      </w:r>
      <w:r w:rsidR="00C1231D" w:rsidRPr="0044221F">
        <w:rPr>
          <w:rFonts w:ascii="Arial" w:hAnsi="Arial" w:cs="Arial"/>
          <w:lang w:val="en-US"/>
        </w:rPr>
        <w:t>identifying systemic failures and positive steps that public bodies can take to mitigate loss</w:t>
      </w:r>
      <w:r w:rsidR="00AC1494" w:rsidRPr="0044221F">
        <w:rPr>
          <w:rFonts w:ascii="Arial" w:hAnsi="Arial" w:cs="Arial"/>
          <w:lang w:val="en-US"/>
        </w:rPr>
        <w:t>, in particular to prevent future injuries and deaths</w:t>
      </w:r>
      <w:r w:rsidR="00C1231D" w:rsidRPr="0044221F">
        <w:rPr>
          <w:rFonts w:ascii="Arial" w:hAnsi="Arial" w:cs="Arial"/>
          <w:lang w:val="en-US"/>
        </w:rPr>
        <w:t>.</w:t>
      </w:r>
      <w:r w:rsidRPr="0044221F">
        <w:rPr>
          <w:rFonts w:ascii="Arial" w:hAnsi="Arial" w:cs="Arial"/>
          <w:lang w:val="en-US"/>
        </w:rPr>
        <w:t xml:space="preserve"> </w:t>
      </w:r>
      <w:r w:rsidR="00FF2C1E">
        <w:rPr>
          <w:rFonts w:ascii="Arial" w:hAnsi="Arial" w:cs="Arial"/>
          <w:lang w:val="en-US"/>
        </w:rPr>
        <w:t>Human rights claims can be a powerful tool in holding public bodies to account. Inquests which involve a breach of Article 2, for example, will be</w:t>
      </w:r>
      <w:r w:rsidR="00471FA9">
        <w:rPr>
          <w:rFonts w:ascii="Arial" w:hAnsi="Arial" w:cs="Arial"/>
          <w:lang w:val="en-US"/>
        </w:rPr>
        <w:t>,</w:t>
      </w:r>
      <w:r w:rsidR="00FF2C1E">
        <w:rPr>
          <w:rFonts w:ascii="Arial" w:hAnsi="Arial" w:cs="Arial"/>
          <w:lang w:val="en-US"/>
        </w:rPr>
        <w:t xml:space="preserve"> by their nature</w:t>
      </w:r>
      <w:r w:rsidR="00471FA9">
        <w:rPr>
          <w:rFonts w:ascii="Arial" w:hAnsi="Arial" w:cs="Arial"/>
          <w:lang w:val="en-US"/>
        </w:rPr>
        <w:t>,</w:t>
      </w:r>
      <w:r w:rsidR="00FF2C1E">
        <w:rPr>
          <w:rFonts w:ascii="Arial" w:hAnsi="Arial" w:cs="Arial"/>
          <w:lang w:val="en-US"/>
        </w:rPr>
        <w:t xml:space="preserve"> wider in scope than other inquests, and will allow the coroner to reach additional conclusions. </w:t>
      </w:r>
    </w:p>
    <w:p w14:paraId="3AB97D38" w14:textId="75E418DB" w:rsidR="00552B4A" w:rsidRPr="003D4E19" w:rsidRDefault="00552B4A" w:rsidP="00552B4A">
      <w:pPr>
        <w:jc w:val="both"/>
        <w:rPr>
          <w:rFonts w:ascii="Arial" w:hAnsi="Arial" w:cs="Arial"/>
        </w:rPr>
      </w:pPr>
      <w:r w:rsidRPr="003D4E19">
        <w:rPr>
          <w:rFonts w:ascii="Arial" w:hAnsi="Arial" w:cs="Arial"/>
        </w:rPr>
        <w:t>As well as being a route to</w:t>
      </w:r>
      <w:r w:rsidR="00471FA9">
        <w:rPr>
          <w:rFonts w:ascii="Arial" w:hAnsi="Arial" w:cs="Arial"/>
        </w:rPr>
        <w:t xml:space="preserve"> </w:t>
      </w:r>
      <w:r w:rsidRPr="003D4E19">
        <w:rPr>
          <w:rFonts w:ascii="Arial" w:hAnsi="Arial" w:cs="Arial"/>
        </w:rPr>
        <w:t>pr</w:t>
      </w:r>
      <w:r w:rsidR="00471FA9">
        <w:rPr>
          <w:rFonts w:ascii="Arial" w:hAnsi="Arial" w:cs="Arial"/>
        </w:rPr>
        <w:t xml:space="preserve">oviding </w:t>
      </w:r>
      <w:r w:rsidRPr="003D4E19">
        <w:rPr>
          <w:rFonts w:ascii="Arial" w:hAnsi="Arial" w:cs="Arial"/>
        </w:rPr>
        <w:t xml:space="preserve">a </w:t>
      </w:r>
      <w:proofErr w:type="gramStart"/>
      <w:r w:rsidRPr="003D4E19">
        <w:rPr>
          <w:rFonts w:ascii="Arial" w:hAnsi="Arial" w:cs="Arial"/>
        </w:rPr>
        <w:t>more full</w:t>
      </w:r>
      <w:proofErr w:type="gramEnd"/>
      <w:r w:rsidRPr="003D4E19">
        <w:rPr>
          <w:rFonts w:ascii="Arial" w:hAnsi="Arial" w:cs="Arial"/>
        </w:rPr>
        <w:t xml:space="preserve"> investigation of the wrongdoing via inquest, human rights claims are vital in providing vindication for the claimant</w:t>
      </w:r>
      <w:r>
        <w:rPr>
          <w:rFonts w:ascii="Arial" w:hAnsi="Arial" w:cs="Arial"/>
        </w:rPr>
        <w:t xml:space="preserve"> and their families</w:t>
      </w:r>
      <w:r w:rsidRPr="003D4E19">
        <w:rPr>
          <w:rFonts w:ascii="Arial" w:hAnsi="Arial" w:cs="Arial"/>
        </w:rPr>
        <w:t xml:space="preserve">. An </w:t>
      </w:r>
      <w:r w:rsidRPr="003D4E19">
        <w:rPr>
          <w:rFonts w:ascii="Arial" w:hAnsi="Arial" w:cs="Arial"/>
        </w:rPr>
        <w:lastRenderedPageBreak/>
        <w:t>acknowledgement in court that the claimant’s human rights have been breached can help the claimant and their loved ones to obtain closure</w:t>
      </w:r>
      <w:r>
        <w:rPr>
          <w:rFonts w:ascii="Arial" w:hAnsi="Arial" w:cs="Arial"/>
        </w:rPr>
        <w:t>, where perhaps there is no other remedy available.</w:t>
      </w:r>
      <w:r w:rsidRPr="003D4E19">
        <w:rPr>
          <w:rFonts w:ascii="Arial" w:hAnsi="Arial" w:cs="Arial"/>
        </w:rPr>
        <w:t xml:space="preserve"> Human rights claims are </w:t>
      </w:r>
      <w:r>
        <w:rPr>
          <w:rFonts w:ascii="Arial" w:hAnsi="Arial" w:cs="Arial"/>
        </w:rPr>
        <w:t xml:space="preserve">vital in </w:t>
      </w:r>
      <w:r w:rsidRPr="003D4E19">
        <w:rPr>
          <w:rFonts w:ascii="Arial" w:hAnsi="Arial" w:cs="Arial"/>
        </w:rPr>
        <w:t>recogni</w:t>
      </w:r>
      <w:r>
        <w:rPr>
          <w:rFonts w:ascii="Arial" w:hAnsi="Arial" w:cs="Arial"/>
        </w:rPr>
        <w:t>sing</w:t>
      </w:r>
      <w:r w:rsidRPr="003D4E19">
        <w:rPr>
          <w:rFonts w:ascii="Arial" w:hAnsi="Arial" w:cs="Arial"/>
        </w:rPr>
        <w:t xml:space="preserve"> wrong doing – this is not simply about compensation, but recognition that the claimant’s rights have been violated and those who violated those rights are being held to account. </w:t>
      </w:r>
    </w:p>
    <w:p w14:paraId="0499B6C0" w14:textId="2D512242" w:rsidR="00EE2AEF" w:rsidRDefault="00F0426F" w:rsidP="003D4E19">
      <w:pPr>
        <w:rPr>
          <w:rFonts w:ascii="Arial" w:hAnsi="Arial" w:cs="Arial"/>
          <w:lang w:val="en-US"/>
        </w:rPr>
      </w:pPr>
      <w:r w:rsidRPr="003D4E19">
        <w:rPr>
          <w:rFonts w:ascii="Arial" w:hAnsi="Arial" w:cs="Arial"/>
          <w:lang w:val="en-US"/>
        </w:rPr>
        <w:t>We require more detail on the proposals being put forward</w:t>
      </w:r>
      <w:r w:rsidR="00C1231D" w:rsidRPr="003D4E19">
        <w:rPr>
          <w:rFonts w:ascii="Arial" w:hAnsi="Arial" w:cs="Arial"/>
          <w:lang w:val="en-US"/>
        </w:rPr>
        <w:t xml:space="preserve"> and how they would work in practice. </w:t>
      </w:r>
      <w:r w:rsidR="00882FD5">
        <w:rPr>
          <w:rFonts w:ascii="Arial" w:hAnsi="Arial" w:cs="Arial"/>
          <w:lang w:val="en-US"/>
        </w:rPr>
        <w:t xml:space="preserve">The consultation proposes to introduce a </w:t>
      </w:r>
      <w:r w:rsidRPr="003D4E19">
        <w:rPr>
          <w:rFonts w:ascii="Arial" w:hAnsi="Arial" w:cs="Arial"/>
          <w:lang w:val="en-US"/>
        </w:rPr>
        <w:t xml:space="preserve">permission stage and </w:t>
      </w:r>
      <w:r w:rsidR="00882FD5">
        <w:rPr>
          <w:rFonts w:ascii="Arial" w:hAnsi="Arial" w:cs="Arial"/>
          <w:lang w:val="en-US"/>
        </w:rPr>
        <w:t xml:space="preserve">a </w:t>
      </w:r>
      <w:r w:rsidRPr="003D4E19">
        <w:rPr>
          <w:rFonts w:ascii="Arial" w:hAnsi="Arial" w:cs="Arial"/>
          <w:lang w:val="en-US"/>
        </w:rPr>
        <w:t>requir</w:t>
      </w:r>
      <w:r w:rsidR="00882FD5">
        <w:rPr>
          <w:rFonts w:ascii="Arial" w:hAnsi="Arial" w:cs="Arial"/>
          <w:lang w:val="en-US"/>
        </w:rPr>
        <w:t>ement for</w:t>
      </w:r>
      <w:r w:rsidRPr="003D4E19">
        <w:rPr>
          <w:rFonts w:ascii="Arial" w:hAnsi="Arial" w:cs="Arial"/>
          <w:lang w:val="en-US"/>
        </w:rPr>
        <w:t xml:space="preserve"> the claimant to exhaust every other remedy before bringing </w:t>
      </w:r>
      <w:r w:rsidR="00882FD5">
        <w:rPr>
          <w:rFonts w:ascii="Arial" w:hAnsi="Arial" w:cs="Arial"/>
          <w:lang w:val="en-US"/>
        </w:rPr>
        <w:t>a Human Rights Act</w:t>
      </w:r>
      <w:r w:rsidRPr="003D4E19">
        <w:rPr>
          <w:rFonts w:ascii="Arial" w:hAnsi="Arial" w:cs="Arial"/>
          <w:lang w:val="en-US"/>
        </w:rPr>
        <w:t xml:space="preserve"> claim</w:t>
      </w:r>
      <w:r w:rsidR="00882FD5">
        <w:rPr>
          <w:rFonts w:ascii="Arial" w:hAnsi="Arial" w:cs="Arial"/>
          <w:lang w:val="en-US"/>
        </w:rPr>
        <w:t xml:space="preserve"> and we are concerned these additional barriers will</w:t>
      </w:r>
      <w:r w:rsidRPr="003D4E19">
        <w:rPr>
          <w:rFonts w:ascii="Arial" w:hAnsi="Arial" w:cs="Arial"/>
          <w:lang w:val="en-US"/>
        </w:rPr>
        <w:t xml:space="preserve"> restrict access to justice for </w:t>
      </w:r>
      <w:r w:rsidRPr="00E37F44">
        <w:rPr>
          <w:rFonts w:ascii="Arial" w:hAnsi="Arial" w:cs="Arial"/>
          <w:lang w:val="en-US"/>
        </w:rPr>
        <w:t>claimants</w:t>
      </w:r>
      <w:r w:rsidR="0043641F">
        <w:rPr>
          <w:rFonts w:ascii="Arial" w:hAnsi="Arial" w:cs="Arial"/>
          <w:lang w:val="en-US"/>
        </w:rPr>
        <w:t>.</w:t>
      </w:r>
    </w:p>
    <w:p w14:paraId="78C8D409" w14:textId="5A190D01" w:rsidR="0043641F" w:rsidRPr="009A140C" w:rsidRDefault="0043641F" w:rsidP="0043641F">
      <w:pPr>
        <w:jc w:val="both"/>
        <w:rPr>
          <w:rFonts w:ascii="Arial" w:hAnsi="Arial" w:cs="Arial"/>
          <w:b/>
          <w:bCs/>
          <w:u w:val="single"/>
        </w:rPr>
      </w:pPr>
      <w:r>
        <w:rPr>
          <w:rFonts w:ascii="Arial" w:hAnsi="Arial" w:cs="Arial"/>
          <w:b/>
          <w:bCs/>
          <w:u w:val="single"/>
        </w:rPr>
        <w:t>General c</w:t>
      </w:r>
      <w:r w:rsidRPr="00465F5A">
        <w:rPr>
          <w:rFonts w:ascii="Arial" w:hAnsi="Arial" w:cs="Arial"/>
          <w:b/>
          <w:bCs/>
          <w:u w:val="single"/>
        </w:rPr>
        <w:t>omments on proposals</w:t>
      </w:r>
      <w:r>
        <w:rPr>
          <w:rFonts w:ascii="Arial" w:hAnsi="Arial" w:cs="Arial"/>
          <w:b/>
          <w:bCs/>
          <w:u w:val="single"/>
        </w:rPr>
        <w:t xml:space="preserve"> </w:t>
      </w:r>
    </w:p>
    <w:p w14:paraId="4B7B5C93" w14:textId="77777777" w:rsidR="0043641F" w:rsidRPr="009A140C" w:rsidRDefault="0043641F" w:rsidP="0043641F">
      <w:pPr>
        <w:jc w:val="both"/>
        <w:rPr>
          <w:rFonts w:ascii="Arial" w:hAnsi="Arial" w:cs="Arial"/>
          <w:b/>
          <w:bCs/>
        </w:rPr>
      </w:pPr>
      <w:r w:rsidRPr="009A140C">
        <w:rPr>
          <w:rFonts w:ascii="Arial" w:hAnsi="Arial" w:cs="Arial"/>
          <w:b/>
          <w:bCs/>
        </w:rPr>
        <w:t xml:space="preserve">Permission stage </w:t>
      </w:r>
    </w:p>
    <w:p w14:paraId="569B3E41" w14:textId="4ADDB32B" w:rsidR="0043641F" w:rsidRPr="003E24A0" w:rsidRDefault="0043641F" w:rsidP="0043641F">
      <w:pPr>
        <w:jc w:val="both"/>
        <w:rPr>
          <w:rFonts w:ascii="Arial" w:hAnsi="Arial" w:cs="Arial"/>
        </w:rPr>
      </w:pPr>
      <w:r w:rsidRPr="003D4E19">
        <w:rPr>
          <w:rFonts w:ascii="Arial" w:hAnsi="Arial" w:cs="Arial"/>
        </w:rPr>
        <w:t xml:space="preserve">The addition of a permission stage for human rights claims is unnecessary and will provide a further hurdle for claimants in bringing a claim for a breach of their human rights. We are uncertain how it would be determined whether a claimant is “significantly disadvantaged”, and question how this could be determined when human rights are universal </w:t>
      </w:r>
      <w:r>
        <w:rPr>
          <w:rFonts w:ascii="Arial" w:hAnsi="Arial" w:cs="Arial"/>
        </w:rPr>
        <w:t xml:space="preserve">– </w:t>
      </w:r>
      <w:r w:rsidRPr="003D4E19">
        <w:rPr>
          <w:rFonts w:ascii="Arial" w:hAnsi="Arial" w:cs="Arial"/>
        </w:rPr>
        <w:t>one particular person’s human rights are not worth more than another</w:t>
      </w:r>
      <w:r>
        <w:rPr>
          <w:rFonts w:ascii="Arial" w:hAnsi="Arial" w:cs="Arial"/>
        </w:rPr>
        <w:t>’</w:t>
      </w:r>
      <w:r w:rsidRPr="003D4E19">
        <w:rPr>
          <w:rFonts w:ascii="Arial" w:hAnsi="Arial" w:cs="Arial"/>
        </w:rPr>
        <w:t>s</w:t>
      </w:r>
      <w:r>
        <w:rPr>
          <w:rFonts w:ascii="Arial" w:hAnsi="Arial" w:cs="Arial"/>
        </w:rPr>
        <w:t xml:space="preserve">. </w:t>
      </w:r>
      <w:r w:rsidRPr="003D4E19">
        <w:rPr>
          <w:rFonts w:ascii="Arial" w:hAnsi="Arial" w:cs="Arial"/>
        </w:rPr>
        <w:t xml:space="preserve">It would be wrong to determine that a particular person was significantly disadvantaged because their claim is worth more in monetary terms, for example.  </w:t>
      </w:r>
      <w:r>
        <w:rPr>
          <w:rFonts w:ascii="Arial" w:hAnsi="Arial" w:cs="Arial"/>
        </w:rPr>
        <w:t xml:space="preserve">This flies in the face of the very purpose and desired effect of </w:t>
      </w:r>
      <w:r w:rsidRPr="003E24A0">
        <w:rPr>
          <w:rFonts w:ascii="Arial" w:hAnsi="Arial" w:cs="Arial"/>
        </w:rPr>
        <w:t xml:space="preserve">‘human rights’, philosophically and legally. We also believe there would be an increase in satellite litigation in relation to what a “significant disadvantage” would be. </w:t>
      </w:r>
    </w:p>
    <w:p w14:paraId="1CB02F10" w14:textId="712BDE7F" w:rsidR="0043641F" w:rsidRPr="007B5DCD" w:rsidRDefault="0043641F" w:rsidP="0043641F">
      <w:pPr>
        <w:jc w:val="both"/>
      </w:pPr>
      <w:r w:rsidRPr="003E24A0">
        <w:rPr>
          <w:rFonts w:ascii="Arial" w:hAnsi="Arial" w:cs="Arial"/>
        </w:rPr>
        <w:t>The consultation indicates that the rationale for an additional permission stage is to ensure that spurious cases do not undermine public confidence in human rights. From our members’ perspective, human rights claims are not spurious or trivial, and these claims are not easy to bring</w:t>
      </w:r>
      <w:r w:rsidR="007B5DCD">
        <w:rPr>
          <w:rFonts w:ascii="Arial" w:hAnsi="Arial" w:cs="Arial"/>
        </w:rPr>
        <w:t>, as evidenced below</w:t>
      </w:r>
      <w:r w:rsidRPr="003E24A0">
        <w:rPr>
          <w:rFonts w:ascii="Arial" w:hAnsi="Arial" w:cs="Arial"/>
        </w:rPr>
        <w:t xml:space="preserve">. </w:t>
      </w:r>
      <w:r w:rsidR="007B5DCD" w:rsidRPr="003E24A0">
        <w:rPr>
          <w:rFonts w:ascii="Arial" w:hAnsi="Arial" w:cs="Arial"/>
        </w:rPr>
        <w:t>It is also stated</w:t>
      </w:r>
      <w:r w:rsidR="007B5DCD">
        <w:rPr>
          <w:rFonts w:ascii="Arial" w:hAnsi="Arial" w:cs="Arial"/>
        </w:rPr>
        <w:t xml:space="preserve"> within the consultation</w:t>
      </w:r>
      <w:r w:rsidR="007B5DCD" w:rsidRPr="003E24A0">
        <w:rPr>
          <w:rFonts w:ascii="Arial" w:hAnsi="Arial" w:cs="Arial"/>
        </w:rPr>
        <w:t xml:space="preserve"> that </w:t>
      </w:r>
      <w:r w:rsidR="007B5DCD" w:rsidRPr="0043641F">
        <w:rPr>
          <w:rFonts w:ascii="Arial" w:hAnsi="Arial" w:cs="Arial"/>
        </w:rPr>
        <w:t>human</w:t>
      </w:r>
      <w:r w:rsidR="007B5DCD" w:rsidRPr="003E24A0">
        <w:rPr>
          <w:rFonts w:ascii="Arial" w:hAnsi="Arial" w:cs="Arial"/>
        </w:rPr>
        <w:t xml:space="preserve"> rights claims should not simply be used as another avenue of litigation to obtain compensation.</w:t>
      </w:r>
      <w:r w:rsidR="007B5DCD" w:rsidRPr="007B5DCD">
        <w:rPr>
          <w:rFonts w:ascii="Arial" w:hAnsi="Arial" w:cs="Arial"/>
        </w:rPr>
        <w:t xml:space="preserve"> </w:t>
      </w:r>
      <w:r w:rsidR="007B5DCD" w:rsidRPr="003E24A0">
        <w:rPr>
          <w:rFonts w:ascii="Arial" w:hAnsi="Arial" w:cs="Arial"/>
        </w:rPr>
        <w:t xml:space="preserve">As set out </w:t>
      </w:r>
      <w:r w:rsidR="007B5DCD">
        <w:rPr>
          <w:rFonts w:ascii="Arial" w:hAnsi="Arial" w:cs="Arial"/>
        </w:rPr>
        <w:t>below,</w:t>
      </w:r>
      <w:r w:rsidR="007B5DCD" w:rsidRPr="003E24A0">
        <w:rPr>
          <w:rFonts w:ascii="Arial" w:hAnsi="Arial" w:cs="Arial"/>
        </w:rPr>
        <w:t xml:space="preserve"> the ability to bring human rights claims is an important tool to allow the claimant to be heard, to obtain </w:t>
      </w:r>
      <w:r w:rsidR="007B5DCD" w:rsidRPr="00465F5A">
        <w:rPr>
          <w:rFonts w:ascii="Arial" w:hAnsi="Arial" w:cs="Arial"/>
        </w:rPr>
        <w:t>justice,</w:t>
      </w:r>
      <w:r w:rsidR="007B5DCD" w:rsidRPr="003E24A0">
        <w:rPr>
          <w:rFonts w:ascii="Arial" w:hAnsi="Arial" w:cs="Arial"/>
        </w:rPr>
        <w:t xml:space="preserve"> closure and to hold public bodies such as the Ministry of Defence to account, particularly where there are no other routes to redress</w:t>
      </w:r>
    </w:p>
    <w:p w14:paraId="2E0A3E6C" w14:textId="6C784631" w:rsidR="0043641F" w:rsidRPr="003E24A0" w:rsidRDefault="0043641F" w:rsidP="0043641F">
      <w:pPr>
        <w:jc w:val="both"/>
        <w:rPr>
          <w:rFonts w:ascii="Arial" w:hAnsi="Arial" w:cs="Arial"/>
        </w:rPr>
      </w:pPr>
      <w:r w:rsidRPr="003E24A0">
        <w:rPr>
          <w:rFonts w:ascii="Arial" w:hAnsi="Arial" w:cs="Arial"/>
        </w:rPr>
        <w:t>We also believe that the introduction of a permission stage for Human Rights Act claims would result in additional costs for claimants. Currently, claimants are able to bring a claim in tort and under the Human Rights Act together. If a permission stage is required in human rights claims, this may mean that the two claims will need to be dealt with separately, and less efficiently, increasing costs together with increasing backlogs at Court</w:t>
      </w:r>
      <w:r w:rsidRPr="00465F5A">
        <w:rPr>
          <w:rFonts w:ascii="Arial" w:hAnsi="Arial" w:cs="Arial"/>
        </w:rPr>
        <w:t xml:space="preserve"> and causing further delays</w:t>
      </w:r>
      <w:r w:rsidRPr="003E24A0">
        <w:rPr>
          <w:rFonts w:ascii="Arial" w:hAnsi="Arial" w:cs="Arial"/>
        </w:rPr>
        <w:t xml:space="preserve">. In the context of civil law, a separate permission stage would simply not be workable. </w:t>
      </w:r>
    </w:p>
    <w:p w14:paraId="5A098542" w14:textId="77777777" w:rsidR="0043641F" w:rsidRPr="003E24A0" w:rsidRDefault="0043641F" w:rsidP="0043641F">
      <w:pPr>
        <w:jc w:val="both"/>
        <w:rPr>
          <w:rFonts w:ascii="Arial" w:hAnsi="Arial" w:cs="Arial"/>
          <w:i/>
          <w:iCs/>
        </w:rPr>
      </w:pPr>
      <w:r w:rsidRPr="003E24A0">
        <w:rPr>
          <w:rFonts w:ascii="Arial" w:hAnsi="Arial" w:cs="Arial"/>
          <w:i/>
          <w:iCs/>
        </w:rPr>
        <w:t xml:space="preserve">Judicial remedies </w:t>
      </w:r>
    </w:p>
    <w:p w14:paraId="3A4A0E84" w14:textId="2C7ABAA1" w:rsidR="0043641F" w:rsidRPr="003E24A0" w:rsidRDefault="0043641F" w:rsidP="0043641F">
      <w:pPr>
        <w:spacing w:line="276" w:lineRule="auto"/>
        <w:ind w:right="68"/>
        <w:jc w:val="both"/>
        <w:rPr>
          <w:rFonts w:ascii="Arial" w:eastAsia="Arial" w:hAnsi="Arial" w:cs="Arial"/>
          <w:spacing w:val="1"/>
        </w:rPr>
      </w:pPr>
      <w:r w:rsidRPr="003E24A0">
        <w:rPr>
          <w:rFonts w:ascii="Arial" w:hAnsi="Arial" w:cs="Arial"/>
        </w:rPr>
        <w:t>The proposal to strengthen section 8 of the Human Rights Act, to require applicants to pursue any other claims that they may have before pursuing a rights</w:t>
      </w:r>
      <w:r w:rsidR="004609F0">
        <w:rPr>
          <w:rFonts w:ascii="Arial" w:hAnsi="Arial" w:cs="Arial"/>
        </w:rPr>
        <w:t>-</w:t>
      </w:r>
      <w:r w:rsidRPr="003E24A0">
        <w:rPr>
          <w:rFonts w:ascii="Arial" w:hAnsi="Arial" w:cs="Arial"/>
        </w:rPr>
        <w:t xml:space="preserve">based claim, would simply make it harder for people to bring those </w:t>
      </w:r>
      <w:r w:rsidRPr="0043641F">
        <w:rPr>
          <w:rFonts w:ascii="Arial" w:hAnsi="Arial" w:cs="Arial"/>
        </w:rPr>
        <w:t>human</w:t>
      </w:r>
      <w:r w:rsidRPr="003E24A0">
        <w:rPr>
          <w:rFonts w:ascii="Arial" w:hAnsi="Arial" w:cs="Arial"/>
        </w:rPr>
        <w:t xml:space="preserve"> </w:t>
      </w:r>
      <w:proofErr w:type="gramStart"/>
      <w:r w:rsidRPr="003E24A0">
        <w:rPr>
          <w:rFonts w:ascii="Arial" w:hAnsi="Arial" w:cs="Arial"/>
        </w:rPr>
        <w:t>rights based</w:t>
      </w:r>
      <w:proofErr w:type="gramEnd"/>
      <w:r w:rsidRPr="003E24A0">
        <w:rPr>
          <w:rFonts w:ascii="Arial" w:hAnsi="Arial" w:cs="Arial"/>
        </w:rPr>
        <w:t xml:space="preserve"> claims. There is a </w:t>
      </w:r>
      <w:r w:rsidR="004609F0" w:rsidRPr="003E24A0">
        <w:rPr>
          <w:rFonts w:ascii="Arial" w:eastAsia="Arial" w:hAnsi="Arial" w:cs="Arial"/>
          <w:spacing w:val="1"/>
        </w:rPr>
        <w:t>one-year</w:t>
      </w:r>
      <w:r w:rsidRPr="003E24A0">
        <w:rPr>
          <w:rFonts w:ascii="Arial" w:eastAsia="Arial" w:hAnsi="Arial" w:cs="Arial"/>
          <w:spacing w:val="1"/>
        </w:rPr>
        <w:t xml:space="preserve"> limitation period on human rights claims at present, which begins to expire from the time of the breach, and it would be extremely difficult, if not impossible, to bring another claim and then still be within the limitation period to bring a human rights claim. </w:t>
      </w:r>
    </w:p>
    <w:p w14:paraId="461BBA1D" w14:textId="77777777" w:rsidR="0043641F" w:rsidRPr="003E24A0" w:rsidRDefault="0043641F" w:rsidP="0043641F">
      <w:pPr>
        <w:spacing w:line="276" w:lineRule="auto"/>
        <w:ind w:right="68"/>
        <w:jc w:val="both"/>
        <w:rPr>
          <w:rFonts w:ascii="Arial" w:hAnsi="Arial" w:cs="Arial"/>
          <w:bCs/>
          <w:i/>
          <w:iCs/>
        </w:rPr>
      </w:pPr>
      <w:r w:rsidRPr="003E24A0">
        <w:rPr>
          <w:rFonts w:ascii="Arial" w:eastAsia="Arial" w:hAnsi="Arial" w:cs="Arial"/>
          <w:i/>
          <w:iCs/>
          <w:spacing w:val="1"/>
        </w:rPr>
        <w:t>Emphasising the role of responsibilities in the human rights framework</w:t>
      </w:r>
    </w:p>
    <w:p w14:paraId="30BFD469" w14:textId="00C8319A" w:rsidR="0043641F" w:rsidRPr="003E24A0" w:rsidRDefault="0043641F" w:rsidP="0043641F">
      <w:pPr>
        <w:jc w:val="both"/>
        <w:rPr>
          <w:rFonts w:ascii="Arial" w:hAnsi="Arial" w:cs="Arial"/>
        </w:rPr>
      </w:pPr>
      <w:r w:rsidRPr="003E24A0">
        <w:rPr>
          <w:rFonts w:ascii="Arial" w:hAnsi="Arial" w:cs="Arial"/>
        </w:rPr>
        <w:t xml:space="preserve">Paragraph 307 of the consultation indicates that the Bill of Rights would permit the UK courts to consider the claimant’s conduct in deciding whether to award a remedy. The court will be </w:t>
      </w:r>
      <w:r w:rsidRPr="003E24A0">
        <w:rPr>
          <w:rFonts w:ascii="Arial" w:hAnsi="Arial" w:cs="Arial"/>
        </w:rPr>
        <w:lastRenderedPageBreak/>
        <w:t xml:space="preserve">invited to hear about the lawfulness of the claimant’s conduct in the circumstances surrounding the claim, but could also be empowered to consider relevant past conduct, such as whether the claimant has respected the rights of others. This is worryingly vague, goes against recent case law decision(s) and seems unnecessary when the courts, as detailed in paragraph 306, can and do already take into account a claimant’s conduct when determining remedies. We are concerned that this vague and </w:t>
      </w:r>
      <w:proofErr w:type="gramStart"/>
      <w:r w:rsidRPr="003E24A0">
        <w:rPr>
          <w:rFonts w:ascii="Arial" w:hAnsi="Arial" w:cs="Arial"/>
        </w:rPr>
        <w:t>broad brush</w:t>
      </w:r>
      <w:proofErr w:type="gramEnd"/>
      <w:r w:rsidRPr="003E24A0">
        <w:rPr>
          <w:rFonts w:ascii="Arial" w:hAnsi="Arial" w:cs="Arial"/>
        </w:rPr>
        <w:t xml:space="preserve"> approach would be applied to all claimants, and we fail to see how the past conduct of our members’ clients, </w:t>
      </w:r>
      <w:r w:rsidR="007B5DCD">
        <w:rPr>
          <w:rFonts w:ascii="Arial" w:hAnsi="Arial" w:cs="Arial"/>
        </w:rPr>
        <w:t xml:space="preserve">some of </w:t>
      </w:r>
      <w:r w:rsidRPr="003E24A0">
        <w:rPr>
          <w:rFonts w:ascii="Arial" w:hAnsi="Arial" w:cs="Arial"/>
        </w:rPr>
        <w:t>who</w:t>
      </w:r>
      <w:r w:rsidR="007B5DCD">
        <w:rPr>
          <w:rFonts w:ascii="Arial" w:hAnsi="Arial" w:cs="Arial"/>
        </w:rPr>
        <w:t>m</w:t>
      </w:r>
      <w:r w:rsidRPr="003E24A0">
        <w:rPr>
          <w:rFonts w:ascii="Arial" w:hAnsi="Arial" w:cs="Arial"/>
        </w:rPr>
        <w:t xml:space="preserve"> have been injured while in service to the UK, is relevant to their ability to claim for a human rights violation.  </w:t>
      </w:r>
    </w:p>
    <w:p w14:paraId="4A448CDF" w14:textId="39B4AE10" w:rsidR="0043641F" w:rsidRPr="00465F5A" w:rsidRDefault="0043641F" w:rsidP="0043641F">
      <w:pPr>
        <w:jc w:val="both"/>
        <w:rPr>
          <w:rFonts w:ascii="Arial" w:hAnsi="Arial" w:cs="Arial"/>
        </w:rPr>
      </w:pPr>
      <w:r w:rsidRPr="003E24A0">
        <w:rPr>
          <w:rFonts w:ascii="Arial" w:hAnsi="Arial" w:cs="Arial"/>
        </w:rPr>
        <w:t>This requirement could</w:t>
      </w:r>
      <w:r w:rsidR="007B5DCD">
        <w:rPr>
          <w:rFonts w:ascii="Arial" w:hAnsi="Arial" w:cs="Arial"/>
        </w:rPr>
        <w:t xml:space="preserve"> also</w:t>
      </w:r>
      <w:r w:rsidRPr="003E24A0">
        <w:rPr>
          <w:rFonts w:ascii="Arial" w:hAnsi="Arial" w:cs="Arial"/>
        </w:rPr>
        <w:t xml:space="preserve"> be particularly detrimental to abuse claimants and those who have been brought up in care. Those who have been abused are more likely to go on to commit offences themselves in later life. </w:t>
      </w:r>
      <w:r w:rsidRPr="00465F5A">
        <w:rPr>
          <w:rFonts w:ascii="Arial" w:hAnsi="Arial" w:cs="Arial"/>
        </w:rPr>
        <w:t xml:space="preserve">The Prison Reform Trust has also reported that those in care between the ages of 10-17 are ten times more likely to come into contact with the criminal justice system. To withhold the right of the most vulnerable people to exercise their human rights due to criminal activity that is a direct result of those human rights breaches, would be simply abhorrent. </w:t>
      </w:r>
    </w:p>
    <w:p w14:paraId="42DD20DA" w14:textId="6497818C" w:rsidR="0043641F" w:rsidRPr="003E24A0" w:rsidRDefault="0043641F" w:rsidP="0043641F">
      <w:pPr>
        <w:jc w:val="both"/>
        <w:rPr>
          <w:rFonts w:ascii="Arial" w:hAnsi="Arial" w:cs="Arial"/>
        </w:rPr>
      </w:pPr>
      <w:r>
        <w:rPr>
          <w:rFonts w:ascii="Arial" w:hAnsi="Arial" w:cs="Arial"/>
        </w:rPr>
        <w:t>Again, h</w:t>
      </w:r>
      <w:r w:rsidRPr="00465F5A">
        <w:rPr>
          <w:rFonts w:ascii="Arial" w:hAnsi="Arial" w:cs="Arial"/>
        </w:rPr>
        <w:t>uman rights are universal, and no one is more “worthy” of protection for their human rights than an</w:t>
      </w:r>
      <w:r>
        <w:rPr>
          <w:rFonts w:ascii="Arial" w:hAnsi="Arial" w:cs="Arial"/>
        </w:rPr>
        <w:t>other</w:t>
      </w:r>
      <w:r w:rsidRPr="00465F5A">
        <w:rPr>
          <w:rFonts w:ascii="Arial" w:hAnsi="Arial" w:cs="Arial"/>
        </w:rPr>
        <w:t xml:space="preserve">. </w:t>
      </w:r>
    </w:p>
    <w:p w14:paraId="38421CDE" w14:textId="77777777" w:rsidR="0043641F" w:rsidRPr="003D4E19" w:rsidRDefault="0043641F" w:rsidP="0043641F">
      <w:pPr>
        <w:spacing w:line="273" w:lineRule="auto"/>
        <w:ind w:right="63"/>
        <w:jc w:val="both"/>
        <w:rPr>
          <w:rFonts w:ascii="Arial" w:eastAsia="Arial" w:hAnsi="Arial" w:cs="Arial"/>
          <w:bCs/>
          <w:i/>
          <w:iCs/>
          <w:spacing w:val="-1"/>
        </w:rPr>
      </w:pPr>
      <w:r w:rsidRPr="003D4E19">
        <w:rPr>
          <w:rFonts w:ascii="Arial" w:eastAsia="Arial" w:hAnsi="Arial" w:cs="Arial"/>
          <w:bCs/>
          <w:i/>
          <w:iCs/>
        </w:rPr>
        <w:t>Key</w:t>
      </w:r>
      <w:r w:rsidRPr="003D4E19">
        <w:rPr>
          <w:rFonts w:ascii="Arial" w:eastAsia="Arial" w:hAnsi="Arial" w:cs="Arial"/>
          <w:bCs/>
          <w:i/>
          <w:iCs/>
          <w:spacing w:val="-6"/>
        </w:rPr>
        <w:t xml:space="preserve"> </w:t>
      </w:r>
      <w:r w:rsidRPr="003D4E19">
        <w:rPr>
          <w:rFonts w:ascii="Arial" w:eastAsia="Arial" w:hAnsi="Arial" w:cs="Arial"/>
          <w:bCs/>
          <w:i/>
          <w:iCs/>
          <w:spacing w:val="2"/>
        </w:rPr>
        <w:t>n</w:t>
      </w:r>
      <w:r w:rsidRPr="003D4E19">
        <w:rPr>
          <w:rFonts w:ascii="Arial" w:eastAsia="Arial" w:hAnsi="Arial" w:cs="Arial"/>
          <w:bCs/>
          <w:i/>
          <w:iCs/>
          <w:spacing w:val="-1"/>
        </w:rPr>
        <w:t>on</w:t>
      </w:r>
      <w:r w:rsidRPr="003D4E19">
        <w:rPr>
          <w:rFonts w:ascii="Arial" w:eastAsia="Arial" w:hAnsi="Arial" w:cs="Arial"/>
          <w:bCs/>
          <w:i/>
          <w:iCs/>
          <w:spacing w:val="2"/>
        </w:rPr>
        <w:t>-</w:t>
      </w:r>
      <w:r w:rsidRPr="003D4E19">
        <w:rPr>
          <w:rFonts w:ascii="Arial" w:eastAsia="Arial" w:hAnsi="Arial" w:cs="Arial"/>
          <w:bCs/>
          <w:i/>
          <w:iCs/>
          <w:spacing w:val="-1"/>
        </w:rPr>
        <w:t>m</w:t>
      </w:r>
      <w:r w:rsidRPr="003D4E19">
        <w:rPr>
          <w:rFonts w:ascii="Arial" w:eastAsia="Arial" w:hAnsi="Arial" w:cs="Arial"/>
          <w:bCs/>
          <w:i/>
          <w:iCs/>
          <w:spacing w:val="2"/>
        </w:rPr>
        <w:t>o</w:t>
      </w:r>
      <w:r w:rsidRPr="003D4E19">
        <w:rPr>
          <w:rFonts w:ascii="Arial" w:eastAsia="Arial" w:hAnsi="Arial" w:cs="Arial"/>
          <w:bCs/>
          <w:i/>
          <w:iCs/>
          <w:spacing w:val="-1"/>
        </w:rPr>
        <w:t>n</w:t>
      </w:r>
      <w:r w:rsidRPr="003D4E19">
        <w:rPr>
          <w:rFonts w:ascii="Arial" w:eastAsia="Arial" w:hAnsi="Arial" w:cs="Arial"/>
          <w:bCs/>
          <w:i/>
          <w:iCs/>
        </w:rPr>
        <w:t>e</w:t>
      </w:r>
      <w:r w:rsidRPr="003D4E19">
        <w:rPr>
          <w:rFonts w:ascii="Arial" w:eastAsia="Arial" w:hAnsi="Arial" w:cs="Arial"/>
          <w:bCs/>
          <w:i/>
          <w:iCs/>
          <w:spacing w:val="2"/>
        </w:rPr>
        <w:t>t</w:t>
      </w:r>
      <w:r w:rsidRPr="003D4E19">
        <w:rPr>
          <w:rFonts w:ascii="Arial" w:eastAsia="Arial" w:hAnsi="Arial" w:cs="Arial"/>
          <w:bCs/>
          <w:i/>
          <w:iCs/>
          <w:spacing w:val="3"/>
        </w:rPr>
        <w:t>i</w:t>
      </w:r>
      <w:r w:rsidRPr="003D4E19">
        <w:rPr>
          <w:rFonts w:ascii="Arial" w:eastAsia="Arial" w:hAnsi="Arial" w:cs="Arial"/>
          <w:bCs/>
          <w:i/>
          <w:iCs/>
        </w:rPr>
        <w:t>sed</w:t>
      </w:r>
      <w:r w:rsidRPr="003D4E19">
        <w:rPr>
          <w:rFonts w:ascii="Arial" w:eastAsia="Arial" w:hAnsi="Arial" w:cs="Arial"/>
          <w:bCs/>
          <w:i/>
          <w:iCs/>
          <w:spacing w:val="-22"/>
        </w:rPr>
        <w:t xml:space="preserve"> </w:t>
      </w:r>
      <w:r w:rsidRPr="003D4E19">
        <w:rPr>
          <w:rFonts w:ascii="Arial" w:eastAsia="Arial" w:hAnsi="Arial" w:cs="Arial"/>
          <w:bCs/>
          <w:i/>
          <w:iCs/>
          <w:spacing w:val="-1"/>
        </w:rPr>
        <w:t>b</w:t>
      </w:r>
      <w:r w:rsidRPr="003D4E19">
        <w:rPr>
          <w:rFonts w:ascii="Arial" w:eastAsia="Arial" w:hAnsi="Arial" w:cs="Arial"/>
          <w:bCs/>
          <w:i/>
          <w:iCs/>
          <w:spacing w:val="3"/>
        </w:rPr>
        <w:t>e</w:t>
      </w:r>
      <w:r w:rsidRPr="003D4E19">
        <w:rPr>
          <w:rFonts w:ascii="Arial" w:eastAsia="Arial" w:hAnsi="Arial" w:cs="Arial"/>
          <w:bCs/>
          <w:i/>
          <w:iCs/>
          <w:spacing w:val="-1"/>
        </w:rPr>
        <w:t>n</w:t>
      </w:r>
      <w:r w:rsidRPr="003D4E19">
        <w:rPr>
          <w:rFonts w:ascii="Arial" w:eastAsia="Arial" w:hAnsi="Arial" w:cs="Arial"/>
          <w:bCs/>
          <w:i/>
          <w:iCs/>
        </w:rPr>
        <w:t>e</w:t>
      </w:r>
      <w:r w:rsidRPr="003D4E19">
        <w:rPr>
          <w:rFonts w:ascii="Arial" w:eastAsia="Arial" w:hAnsi="Arial" w:cs="Arial"/>
          <w:bCs/>
          <w:i/>
          <w:iCs/>
          <w:spacing w:val="-1"/>
        </w:rPr>
        <w:t>f</w:t>
      </w:r>
      <w:r w:rsidRPr="003D4E19">
        <w:rPr>
          <w:rFonts w:ascii="Arial" w:eastAsia="Arial" w:hAnsi="Arial" w:cs="Arial"/>
          <w:bCs/>
          <w:i/>
          <w:iCs/>
          <w:spacing w:val="3"/>
        </w:rPr>
        <w:t>i</w:t>
      </w:r>
      <w:r w:rsidRPr="003D4E19">
        <w:rPr>
          <w:rFonts w:ascii="Arial" w:eastAsia="Arial" w:hAnsi="Arial" w:cs="Arial"/>
          <w:bCs/>
          <w:i/>
          <w:iCs/>
          <w:spacing w:val="-1"/>
        </w:rPr>
        <w:t>t</w:t>
      </w:r>
      <w:r w:rsidRPr="003D4E19">
        <w:rPr>
          <w:rFonts w:ascii="Arial" w:eastAsia="Arial" w:hAnsi="Arial" w:cs="Arial"/>
          <w:bCs/>
          <w:i/>
          <w:iCs/>
        </w:rPr>
        <w:t>s</w:t>
      </w:r>
      <w:r w:rsidRPr="003D4E19">
        <w:rPr>
          <w:rFonts w:ascii="Arial" w:eastAsia="Arial" w:hAnsi="Arial" w:cs="Arial"/>
          <w:bCs/>
          <w:i/>
          <w:iCs/>
          <w:spacing w:val="-9"/>
        </w:rPr>
        <w:t xml:space="preserve"> </w:t>
      </w:r>
      <w:r w:rsidRPr="003D4E19">
        <w:rPr>
          <w:rFonts w:ascii="Arial" w:eastAsia="Arial" w:hAnsi="Arial" w:cs="Arial"/>
          <w:bCs/>
          <w:i/>
          <w:iCs/>
          <w:spacing w:val="-1"/>
        </w:rPr>
        <w:t>fo</w:t>
      </w:r>
      <w:r w:rsidRPr="003D4E19">
        <w:rPr>
          <w:rFonts w:ascii="Arial" w:eastAsia="Arial" w:hAnsi="Arial" w:cs="Arial"/>
          <w:bCs/>
          <w:i/>
          <w:iCs/>
        </w:rPr>
        <w:t>r</w:t>
      </w:r>
      <w:r w:rsidRPr="003D4E19">
        <w:rPr>
          <w:rFonts w:ascii="Arial" w:eastAsia="Arial" w:hAnsi="Arial" w:cs="Arial"/>
          <w:bCs/>
          <w:i/>
          <w:iCs/>
          <w:spacing w:val="-1"/>
        </w:rPr>
        <w:t xml:space="preserve"> m</w:t>
      </w:r>
      <w:r w:rsidRPr="003D4E19">
        <w:rPr>
          <w:rFonts w:ascii="Arial" w:eastAsia="Arial" w:hAnsi="Arial" w:cs="Arial"/>
          <w:bCs/>
          <w:i/>
          <w:iCs/>
        </w:rPr>
        <w:t>ain</w:t>
      </w:r>
      <w:r w:rsidRPr="003D4E19">
        <w:rPr>
          <w:rFonts w:ascii="Arial" w:eastAsia="Arial" w:hAnsi="Arial" w:cs="Arial"/>
          <w:bCs/>
          <w:i/>
          <w:iCs/>
          <w:spacing w:val="-7"/>
        </w:rPr>
        <w:t xml:space="preserve"> </w:t>
      </w:r>
      <w:r w:rsidRPr="003D4E19">
        <w:rPr>
          <w:rFonts w:ascii="Arial" w:eastAsia="Arial" w:hAnsi="Arial" w:cs="Arial"/>
          <w:bCs/>
          <w:i/>
          <w:iCs/>
          <w:spacing w:val="2"/>
        </w:rPr>
        <w:t>a</w:t>
      </w:r>
      <w:r w:rsidRPr="003D4E19">
        <w:rPr>
          <w:rFonts w:ascii="Arial" w:eastAsia="Arial" w:hAnsi="Arial" w:cs="Arial"/>
          <w:bCs/>
          <w:i/>
          <w:iCs/>
          <w:spacing w:val="-1"/>
        </w:rPr>
        <w:t>ff</w:t>
      </w:r>
      <w:r w:rsidRPr="003D4E19">
        <w:rPr>
          <w:rFonts w:ascii="Arial" w:eastAsia="Arial" w:hAnsi="Arial" w:cs="Arial"/>
          <w:bCs/>
          <w:i/>
          <w:iCs/>
          <w:spacing w:val="2"/>
        </w:rPr>
        <w:t>e</w:t>
      </w:r>
      <w:r w:rsidRPr="003D4E19">
        <w:rPr>
          <w:rFonts w:ascii="Arial" w:eastAsia="Arial" w:hAnsi="Arial" w:cs="Arial"/>
          <w:bCs/>
          <w:i/>
          <w:iCs/>
        </w:rPr>
        <w:t>c</w:t>
      </w:r>
      <w:r w:rsidRPr="003D4E19">
        <w:rPr>
          <w:rFonts w:ascii="Arial" w:eastAsia="Arial" w:hAnsi="Arial" w:cs="Arial"/>
          <w:bCs/>
          <w:i/>
          <w:iCs/>
          <w:spacing w:val="-1"/>
        </w:rPr>
        <w:t>t</w:t>
      </w:r>
      <w:r w:rsidRPr="003D4E19">
        <w:rPr>
          <w:rFonts w:ascii="Arial" w:eastAsia="Arial" w:hAnsi="Arial" w:cs="Arial"/>
          <w:bCs/>
          <w:i/>
          <w:iCs/>
          <w:spacing w:val="2"/>
        </w:rPr>
        <w:t>e</w:t>
      </w:r>
      <w:r w:rsidRPr="003D4E19">
        <w:rPr>
          <w:rFonts w:ascii="Arial" w:eastAsia="Arial" w:hAnsi="Arial" w:cs="Arial"/>
          <w:bCs/>
          <w:i/>
          <w:iCs/>
        </w:rPr>
        <w:t>d</w:t>
      </w:r>
      <w:r w:rsidRPr="003D4E19">
        <w:rPr>
          <w:rFonts w:ascii="Arial" w:eastAsia="Arial" w:hAnsi="Arial" w:cs="Arial"/>
          <w:bCs/>
          <w:i/>
          <w:iCs/>
          <w:spacing w:val="-12"/>
        </w:rPr>
        <w:t xml:space="preserve"> </w:t>
      </w:r>
      <w:r w:rsidRPr="003D4E19">
        <w:rPr>
          <w:rFonts w:ascii="Arial" w:eastAsia="Arial" w:hAnsi="Arial" w:cs="Arial"/>
          <w:bCs/>
          <w:i/>
          <w:iCs/>
          <w:spacing w:val="2"/>
        </w:rPr>
        <w:t>g</w:t>
      </w:r>
      <w:r w:rsidRPr="003D4E19">
        <w:rPr>
          <w:rFonts w:ascii="Arial" w:eastAsia="Arial" w:hAnsi="Arial" w:cs="Arial"/>
          <w:bCs/>
          <w:i/>
          <w:iCs/>
          <w:spacing w:val="1"/>
        </w:rPr>
        <w:t>r</w:t>
      </w:r>
      <w:r w:rsidRPr="003D4E19">
        <w:rPr>
          <w:rFonts w:ascii="Arial" w:eastAsia="Arial" w:hAnsi="Arial" w:cs="Arial"/>
          <w:bCs/>
          <w:i/>
          <w:iCs/>
          <w:spacing w:val="-1"/>
        </w:rPr>
        <w:t>oups</w:t>
      </w:r>
    </w:p>
    <w:p w14:paraId="5B5A4A09" w14:textId="4C2FF749" w:rsidR="0043641F" w:rsidRPr="00465F5A" w:rsidRDefault="0043641F" w:rsidP="0043641F">
      <w:pPr>
        <w:spacing w:line="273" w:lineRule="auto"/>
        <w:ind w:right="63"/>
        <w:jc w:val="both"/>
        <w:rPr>
          <w:rFonts w:ascii="Arial" w:eastAsia="Arial" w:hAnsi="Arial" w:cs="Arial"/>
          <w:bCs/>
          <w:color w:val="0070C0"/>
          <w:spacing w:val="-1"/>
        </w:rPr>
      </w:pPr>
      <w:r w:rsidRPr="003D4E19">
        <w:rPr>
          <w:rFonts w:ascii="Arial" w:eastAsia="Arial" w:hAnsi="Arial" w:cs="Arial"/>
          <w:bCs/>
          <w:spacing w:val="-1"/>
        </w:rPr>
        <w:t>The key non-monetised benefits for the main affected groups set out in the consultation are alarming. We fail to see how the potential reduction in compensation awards, which may in turn lead some litigants to decide to no longer pursue their claim could be seen as a benefit for justice. Further, removing or reducing awarded damages leading to savings for government departments cannot be seen as a benefit for justice</w:t>
      </w:r>
      <w:r>
        <w:rPr>
          <w:rFonts w:ascii="Arial" w:eastAsia="Arial" w:hAnsi="Arial" w:cs="Arial"/>
          <w:bCs/>
          <w:spacing w:val="-1"/>
        </w:rPr>
        <w:t xml:space="preserve">. </w:t>
      </w:r>
      <w:r w:rsidRPr="0043641F">
        <w:rPr>
          <w:rFonts w:ascii="Arial" w:eastAsia="Arial" w:hAnsi="Arial" w:cs="Arial"/>
          <w:bCs/>
          <w:spacing w:val="-1"/>
        </w:rPr>
        <w:t xml:space="preserve">This would likely only shift costs to other government bodies </w:t>
      </w:r>
      <w:proofErr w:type="gramStart"/>
      <w:r w:rsidRPr="0043641F">
        <w:rPr>
          <w:rFonts w:ascii="Arial" w:eastAsia="Arial" w:hAnsi="Arial" w:cs="Arial"/>
          <w:bCs/>
          <w:spacing w:val="-1"/>
        </w:rPr>
        <w:t>e.g.</w:t>
      </w:r>
      <w:proofErr w:type="gramEnd"/>
      <w:r w:rsidRPr="0043641F">
        <w:rPr>
          <w:rFonts w:ascii="Arial" w:eastAsia="Arial" w:hAnsi="Arial" w:cs="Arial"/>
          <w:bCs/>
          <w:spacing w:val="-1"/>
        </w:rPr>
        <w:t xml:space="preserve"> the NHS for treatment costs and/or to the Department for Work and Pensions</w:t>
      </w:r>
      <w:r>
        <w:rPr>
          <w:rFonts w:ascii="Arial" w:eastAsia="Arial" w:hAnsi="Arial" w:cs="Arial"/>
          <w:bCs/>
          <w:spacing w:val="-1"/>
        </w:rPr>
        <w:t xml:space="preserve"> in relation to benefits</w:t>
      </w:r>
      <w:r w:rsidRPr="0043641F">
        <w:rPr>
          <w:rFonts w:ascii="Arial" w:eastAsia="Arial" w:hAnsi="Arial" w:cs="Arial"/>
          <w:bCs/>
          <w:spacing w:val="-1"/>
        </w:rPr>
        <w:t xml:space="preserve">. </w:t>
      </w:r>
    </w:p>
    <w:p w14:paraId="2753D6AD" w14:textId="02CE8CA3" w:rsidR="0043641F" w:rsidRPr="003E6B73" w:rsidRDefault="0043641F" w:rsidP="0043641F">
      <w:pPr>
        <w:spacing w:line="273" w:lineRule="auto"/>
        <w:ind w:right="63"/>
        <w:jc w:val="both"/>
        <w:rPr>
          <w:rFonts w:ascii="Arial" w:hAnsi="Arial" w:cs="Arial"/>
          <w:lang w:val="en-US"/>
        </w:rPr>
      </w:pPr>
      <w:r w:rsidRPr="003D4E19">
        <w:rPr>
          <w:rFonts w:ascii="Arial" w:eastAsia="Arial" w:hAnsi="Arial" w:cs="Arial"/>
          <w:bCs/>
          <w:spacing w:val="-1"/>
        </w:rPr>
        <w:t xml:space="preserve">As mentioned throughout this response, human rights claims play an </w:t>
      </w:r>
      <w:r>
        <w:rPr>
          <w:rFonts w:ascii="Arial" w:eastAsia="Arial" w:hAnsi="Arial" w:cs="Arial"/>
          <w:bCs/>
          <w:spacing w:val="-1"/>
        </w:rPr>
        <w:t>essential</w:t>
      </w:r>
      <w:r w:rsidRPr="003D4E19">
        <w:rPr>
          <w:rFonts w:ascii="Arial" w:eastAsia="Arial" w:hAnsi="Arial" w:cs="Arial"/>
          <w:bCs/>
          <w:spacing w:val="-1"/>
        </w:rPr>
        <w:t xml:space="preserve"> role in keeping organisations in check and ensuring justice where those human rights are breached</w:t>
      </w:r>
      <w:r>
        <w:rPr>
          <w:rFonts w:ascii="Arial" w:eastAsia="Arial" w:hAnsi="Arial" w:cs="Arial"/>
          <w:bCs/>
          <w:spacing w:val="-1"/>
        </w:rPr>
        <w:t>.</w:t>
      </w:r>
      <w:r w:rsidRPr="003D4E19">
        <w:rPr>
          <w:rFonts w:ascii="Arial" w:eastAsia="Arial" w:hAnsi="Arial" w:cs="Arial"/>
          <w:bCs/>
          <w:spacing w:val="-1"/>
        </w:rPr>
        <w:t xml:space="preserve"> To fetter or remove this ability will adversely affect access to justice.</w:t>
      </w:r>
    </w:p>
    <w:p w14:paraId="0BD11797" w14:textId="593A2DCE" w:rsidR="00EE2AEF" w:rsidRDefault="00EE2AEF" w:rsidP="003D4E19">
      <w:pPr>
        <w:rPr>
          <w:rFonts w:ascii="Arial" w:hAnsi="Arial" w:cs="Arial"/>
          <w:lang w:val="en-US"/>
        </w:rPr>
      </w:pPr>
      <w:r w:rsidRPr="004609F0">
        <w:rPr>
          <w:rFonts w:ascii="Arial" w:hAnsi="Arial" w:cs="Arial"/>
          <w:b/>
          <w:bCs/>
          <w:u w:val="single"/>
          <w:lang w:val="en-US"/>
        </w:rPr>
        <w:t>Comments from specific practice areas</w:t>
      </w:r>
    </w:p>
    <w:p w14:paraId="692EA754" w14:textId="143166ED" w:rsidR="00F0426F" w:rsidRPr="003D4E19" w:rsidRDefault="00F0426F" w:rsidP="003D4E19">
      <w:pPr>
        <w:rPr>
          <w:rFonts w:ascii="Arial" w:hAnsi="Arial" w:cs="Arial"/>
          <w:b/>
          <w:bCs/>
          <w:lang w:val="en-US"/>
        </w:rPr>
      </w:pPr>
      <w:r w:rsidRPr="003D4E19">
        <w:rPr>
          <w:rFonts w:ascii="Arial" w:hAnsi="Arial" w:cs="Arial"/>
          <w:b/>
          <w:bCs/>
          <w:lang w:val="en-US"/>
        </w:rPr>
        <w:t>Military claims</w:t>
      </w:r>
    </w:p>
    <w:p w14:paraId="3DD64311" w14:textId="26F41F78" w:rsidR="00BB4729" w:rsidRPr="003D4E19" w:rsidRDefault="00BB4729" w:rsidP="003D4E19">
      <w:pPr>
        <w:jc w:val="both"/>
        <w:rPr>
          <w:rFonts w:ascii="Arial" w:hAnsi="Arial" w:cs="Arial"/>
          <w:i/>
          <w:iCs/>
        </w:rPr>
      </w:pPr>
      <w:r w:rsidRPr="003D4E19">
        <w:rPr>
          <w:rFonts w:ascii="Arial" w:hAnsi="Arial" w:cs="Arial"/>
          <w:i/>
          <w:iCs/>
        </w:rPr>
        <w:t xml:space="preserve">Importance of </w:t>
      </w:r>
      <w:r w:rsidR="003D4E19" w:rsidRPr="003D4E19">
        <w:rPr>
          <w:rFonts w:ascii="Arial" w:hAnsi="Arial" w:cs="Arial"/>
          <w:i/>
          <w:iCs/>
        </w:rPr>
        <w:t>H</w:t>
      </w:r>
      <w:r w:rsidRPr="003D4E19">
        <w:rPr>
          <w:rFonts w:ascii="Arial" w:hAnsi="Arial" w:cs="Arial"/>
          <w:i/>
          <w:iCs/>
        </w:rPr>
        <w:t xml:space="preserve">uman </w:t>
      </w:r>
      <w:r w:rsidR="003D4E19" w:rsidRPr="003D4E19">
        <w:rPr>
          <w:rFonts w:ascii="Arial" w:hAnsi="Arial" w:cs="Arial"/>
          <w:i/>
          <w:iCs/>
        </w:rPr>
        <w:t>R</w:t>
      </w:r>
      <w:r w:rsidRPr="003D4E19">
        <w:rPr>
          <w:rFonts w:ascii="Arial" w:hAnsi="Arial" w:cs="Arial"/>
          <w:i/>
          <w:iCs/>
        </w:rPr>
        <w:t xml:space="preserve">ights </w:t>
      </w:r>
      <w:r w:rsidR="003D4E19" w:rsidRPr="003D4E19">
        <w:rPr>
          <w:rFonts w:ascii="Arial" w:hAnsi="Arial" w:cs="Arial"/>
          <w:i/>
          <w:iCs/>
        </w:rPr>
        <w:t>A</w:t>
      </w:r>
      <w:r w:rsidRPr="003D4E19">
        <w:rPr>
          <w:rFonts w:ascii="Arial" w:hAnsi="Arial" w:cs="Arial"/>
          <w:i/>
          <w:iCs/>
        </w:rPr>
        <w:t xml:space="preserve">ct claims </w:t>
      </w:r>
    </w:p>
    <w:p w14:paraId="5FD7BF30" w14:textId="5919911D" w:rsidR="00BB4729" w:rsidRDefault="00BB4729" w:rsidP="003D4E19">
      <w:pPr>
        <w:jc w:val="both"/>
        <w:rPr>
          <w:rFonts w:ascii="Arial" w:hAnsi="Arial" w:cs="Arial"/>
        </w:rPr>
      </w:pPr>
      <w:r w:rsidRPr="003D4E19">
        <w:rPr>
          <w:rFonts w:ascii="Arial" w:hAnsi="Arial" w:cs="Arial"/>
        </w:rPr>
        <w:t xml:space="preserve">Human rights claims provide an important </w:t>
      </w:r>
      <w:r w:rsidR="004007A2" w:rsidRPr="003D4E19">
        <w:rPr>
          <w:rFonts w:ascii="Arial" w:hAnsi="Arial" w:cs="Arial"/>
        </w:rPr>
        <w:t xml:space="preserve">route to redress </w:t>
      </w:r>
      <w:r w:rsidR="00E937D2" w:rsidRPr="003D4E19">
        <w:rPr>
          <w:rFonts w:ascii="Arial" w:hAnsi="Arial" w:cs="Arial"/>
        </w:rPr>
        <w:t>for military personnel and their families</w:t>
      </w:r>
      <w:r w:rsidR="004007A2" w:rsidRPr="003D4E19">
        <w:rPr>
          <w:rFonts w:ascii="Arial" w:hAnsi="Arial" w:cs="Arial"/>
        </w:rPr>
        <w:t xml:space="preserve"> where domestic law does not provide “just satisfaction”. </w:t>
      </w:r>
      <w:r w:rsidRPr="003D4E19">
        <w:rPr>
          <w:rFonts w:ascii="Arial" w:hAnsi="Arial" w:cs="Arial"/>
        </w:rPr>
        <w:t>For example,</w:t>
      </w:r>
      <w:r w:rsidR="00882FD5">
        <w:rPr>
          <w:rFonts w:ascii="Arial" w:hAnsi="Arial" w:cs="Arial"/>
        </w:rPr>
        <w:t xml:space="preserve"> under the current law</w:t>
      </w:r>
      <w:r w:rsidR="00E37F44">
        <w:rPr>
          <w:rFonts w:ascii="Arial" w:hAnsi="Arial" w:cs="Arial"/>
        </w:rPr>
        <w:t>,</w:t>
      </w:r>
      <w:r w:rsidRPr="003D4E19">
        <w:rPr>
          <w:rFonts w:ascii="Arial" w:hAnsi="Arial" w:cs="Arial"/>
        </w:rPr>
        <w:t xml:space="preserve"> </w:t>
      </w:r>
      <w:r w:rsidR="004007A2" w:rsidRPr="003D4E19">
        <w:rPr>
          <w:rFonts w:ascii="Arial" w:hAnsi="Arial" w:cs="Arial"/>
        </w:rPr>
        <w:t xml:space="preserve">partners who do not cohabit and parents of a child over 18 </w:t>
      </w:r>
      <w:r w:rsidR="00882FD5">
        <w:rPr>
          <w:rFonts w:ascii="Arial" w:hAnsi="Arial" w:cs="Arial"/>
        </w:rPr>
        <w:t xml:space="preserve">who </w:t>
      </w:r>
      <w:r w:rsidR="00FB4926">
        <w:rPr>
          <w:rFonts w:ascii="Arial" w:hAnsi="Arial" w:cs="Arial"/>
        </w:rPr>
        <w:t>were no</w:t>
      </w:r>
      <w:r w:rsidR="00882FD5">
        <w:rPr>
          <w:rFonts w:ascii="Arial" w:hAnsi="Arial" w:cs="Arial"/>
        </w:rPr>
        <w:t>t financially dependent on that</w:t>
      </w:r>
      <w:r w:rsidR="00FB4926">
        <w:rPr>
          <w:rFonts w:ascii="Arial" w:hAnsi="Arial" w:cs="Arial"/>
        </w:rPr>
        <w:t xml:space="preserve"> child</w:t>
      </w:r>
      <w:r w:rsidR="00882FD5">
        <w:rPr>
          <w:rFonts w:ascii="Arial" w:hAnsi="Arial" w:cs="Arial"/>
        </w:rPr>
        <w:t>,</w:t>
      </w:r>
      <w:r w:rsidR="004007A2" w:rsidRPr="003D4E19">
        <w:rPr>
          <w:rFonts w:ascii="Arial" w:hAnsi="Arial" w:cs="Arial"/>
        </w:rPr>
        <w:t xml:space="preserve"> are ineligible to bring a negligence claim in the event of a death. </w:t>
      </w:r>
      <w:r w:rsidR="00FB4926">
        <w:rPr>
          <w:rFonts w:ascii="Arial" w:hAnsi="Arial" w:cs="Arial"/>
        </w:rPr>
        <w:t>If the death was caused by a breach of Article 2, a</w:t>
      </w:r>
      <w:r w:rsidR="004007A2" w:rsidRPr="003D4E19">
        <w:rPr>
          <w:rFonts w:ascii="Arial" w:hAnsi="Arial" w:cs="Arial"/>
        </w:rPr>
        <w:t xml:space="preserve"> claim under the Human Rights Act provides a way for c</w:t>
      </w:r>
      <w:r w:rsidR="009F0980" w:rsidRPr="003D4E19">
        <w:rPr>
          <w:rFonts w:ascii="Arial" w:hAnsi="Arial" w:cs="Arial"/>
        </w:rPr>
        <w:t>laimants</w:t>
      </w:r>
      <w:r w:rsidR="004007A2" w:rsidRPr="003D4E19">
        <w:rPr>
          <w:rFonts w:ascii="Arial" w:hAnsi="Arial" w:cs="Arial"/>
        </w:rPr>
        <w:t xml:space="preserve"> to </w:t>
      </w:r>
      <w:r w:rsidR="004007A2" w:rsidRPr="00E37F44">
        <w:rPr>
          <w:rFonts w:ascii="Arial" w:hAnsi="Arial" w:cs="Arial"/>
        </w:rPr>
        <w:t xml:space="preserve">obtain </w:t>
      </w:r>
      <w:r w:rsidR="00AC1494" w:rsidRPr="00E37F44">
        <w:rPr>
          <w:rFonts w:ascii="Arial" w:hAnsi="Arial" w:cs="Arial"/>
        </w:rPr>
        <w:t xml:space="preserve">legal representation, </w:t>
      </w:r>
      <w:r w:rsidR="004007A2" w:rsidRPr="00E37F44">
        <w:rPr>
          <w:rFonts w:ascii="Arial" w:hAnsi="Arial" w:cs="Arial"/>
          <w:color w:val="000000" w:themeColor="text1"/>
        </w:rPr>
        <w:t>justice</w:t>
      </w:r>
      <w:r w:rsidR="004007A2" w:rsidRPr="003D4E19">
        <w:rPr>
          <w:rFonts w:ascii="Arial" w:hAnsi="Arial" w:cs="Arial"/>
        </w:rPr>
        <w:t xml:space="preserve">, hold the Ministry of Defence </w:t>
      </w:r>
      <w:r w:rsidR="002924C1">
        <w:rPr>
          <w:rFonts w:ascii="Arial" w:hAnsi="Arial" w:cs="Arial"/>
        </w:rPr>
        <w:t xml:space="preserve">(“MoD”) </w:t>
      </w:r>
      <w:r w:rsidR="004007A2" w:rsidRPr="003D4E19">
        <w:rPr>
          <w:rFonts w:ascii="Arial" w:hAnsi="Arial" w:cs="Arial"/>
        </w:rPr>
        <w:t>to account, and</w:t>
      </w:r>
      <w:r w:rsidR="00C1231D" w:rsidRPr="003D4E19">
        <w:rPr>
          <w:rFonts w:ascii="Arial" w:hAnsi="Arial" w:cs="Arial"/>
        </w:rPr>
        <w:t xml:space="preserve"> help to bring closure</w:t>
      </w:r>
      <w:r w:rsidR="004007A2" w:rsidRPr="003D4E19">
        <w:rPr>
          <w:rFonts w:ascii="Arial" w:hAnsi="Arial" w:cs="Arial"/>
        </w:rPr>
        <w:t xml:space="preserve">. </w:t>
      </w:r>
      <w:r w:rsidRPr="003D4E19">
        <w:rPr>
          <w:rFonts w:ascii="Arial" w:hAnsi="Arial" w:cs="Arial"/>
        </w:rPr>
        <w:t xml:space="preserve"> </w:t>
      </w:r>
    </w:p>
    <w:p w14:paraId="72CE705F" w14:textId="6FDC583E" w:rsidR="00FB4926" w:rsidRPr="003D4E19" w:rsidRDefault="00FB4926" w:rsidP="003D4E19">
      <w:pPr>
        <w:jc w:val="both"/>
        <w:rPr>
          <w:rFonts w:ascii="Arial" w:hAnsi="Arial" w:cs="Arial"/>
        </w:rPr>
      </w:pPr>
      <w:r>
        <w:rPr>
          <w:rFonts w:ascii="Arial" w:hAnsi="Arial" w:cs="Arial"/>
        </w:rPr>
        <w:t xml:space="preserve">Further, a claim under the Human Rights Act </w:t>
      </w:r>
      <w:r w:rsidR="00882FD5">
        <w:rPr>
          <w:rFonts w:ascii="Arial" w:hAnsi="Arial" w:cs="Arial"/>
        </w:rPr>
        <w:t>can sometimes provide the only recompense for the injuries and/</w:t>
      </w:r>
      <w:r w:rsidR="00FF68E5" w:rsidRPr="00E37F44">
        <w:rPr>
          <w:rFonts w:ascii="Arial" w:hAnsi="Arial" w:cs="Arial"/>
        </w:rPr>
        <w:t>or</w:t>
      </w:r>
      <w:r w:rsidR="00FF68E5">
        <w:rPr>
          <w:rFonts w:ascii="Arial" w:hAnsi="Arial" w:cs="Arial"/>
        </w:rPr>
        <w:t xml:space="preserve"> </w:t>
      </w:r>
      <w:r w:rsidR="00882FD5">
        <w:rPr>
          <w:rFonts w:ascii="Arial" w:hAnsi="Arial" w:cs="Arial"/>
        </w:rPr>
        <w:t xml:space="preserve">death itself.  For example, if a death is deemed instantaneous there is often very little or no non-pecuniary loss awarded for the death itself.  </w:t>
      </w:r>
    </w:p>
    <w:p w14:paraId="4069E148" w14:textId="77777777" w:rsidR="00555ABE" w:rsidRDefault="007B5DCD" w:rsidP="003D4E19">
      <w:pPr>
        <w:jc w:val="both"/>
        <w:rPr>
          <w:rFonts w:ascii="Arial" w:hAnsi="Arial" w:cs="Arial"/>
          <w:b/>
          <w:u w:val="single"/>
        </w:rPr>
      </w:pPr>
      <w:r w:rsidRPr="007657D8">
        <w:rPr>
          <w:rFonts w:ascii="Arial" w:hAnsi="Arial" w:cs="Arial"/>
          <w:b/>
          <w:noProof/>
          <w:u w:val="single"/>
        </w:rPr>
        <w:lastRenderedPageBreak/>
        <mc:AlternateContent>
          <mc:Choice Requires="wps">
            <w:drawing>
              <wp:anchor distT="45720" distB="45720" distL="114300" distR="114300" simplePos="0" relativeHeight="251665408" behindDoc="0" locked="0" layoutInCell="1" allowOverlap="1" wp14:anchorId="228C5424" wp14:editId="7EE0F242">
                <wp:simplePos x="0" y="0"/>
                <wp:positionH relativeFrom="margin">
                  <wp:posOffset>-106045</wp:posOffset>
                </wp:positionH>
                <wp:positionV relativeFrom="paragraph">
                  <wp:posOffset>3087582</wp:posOffset>
                </wp:positionV>
                <wp:extent cx="5775960" cy="26212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621280"/>
                        </a:xfrm>
                        <a:prstGeom prst="rect">
                          <a:avLst/>
                        </a:prstGeom>
                        <a:solidFill>
                          <a:srgbClr val="FFFFFF"/>
                        </a:solidFill>
                        <a:ln w="9525">
                          <a:solidFill>
                            <a:srgbClr val="000000"/>
                          </a:solidFill>
                          <a:miter lim="800000"/>
                          <a:headEnd/>
                          <a:tailEnd/>
                        </a:ln>
                      </wps:spPr>
                      <wps:txbx>
                        <w:txbxContent>
                          <w:p w14:paraId="58F0B241" w14:textId="77777777" w:rsidR="0043641F" w:rsidRPr="00036E3E" w:rsidRDefault="0043641F" w:rsidP="0043641F">
                            <w:pPr>
                              <w:jc w:val="both"/>
                              <w:rPr>
                                <w:rFonts w:ascii="Arial" w:hAnsi="Arial" w:cs="Arial"/>
                                <w:b/>
                              </w:rPr>
                            </w:pPr>
                            <w:r>
                              <w:rPr>
                                <w:rFonts w:ascii="Arial" w:hAnsi="Arial" w:cs="Arial"/>
                                <w:b/>
                              </w:rPr>
                              <w:t>Case study two</w:t>
                            </w:r>
                          </w:p>
                          <w:p w14:paraId="24F3528A" w14:textId="77777777" w:rsidR="0043641F" w:rsidRPr="003D4E19" w:rsidRDefault="0043641F" w:rsidP="0043641F">
                            <w:pPr>
                              <w:jc w:val="both"/>
                              <w:rPr>
                                <w:rFonts w:ascii="Arial" w:hAnsi="Arial" w:cs="Arial"/>
                                <w:bCs/>
                              </w:rPr>
                            </w:pPr>
                            <w:r w:rsidRPr="003D4E19">
                              <w:rPr>
                                <w:rFonts w:ascii="Arial" w:hAnsi="Arial" w:cs="Arial"/>
                                <w:bCs/>
                              </w:rPr>
                              <w:t xml:space="preserve">A Corporal was killed following an IED explosion in Iraq in January 2006. The </w:t>
                            </w:r>
                            <w:r>
                              <w:rPr>
                                <w:rFonts w:ascii="Arial" w:hAnsi="Arial" w:cs="Arial"/>
                                <w:bCs/>
                              </w:rPr>
                              <w:t>C</w:t>
                            </w:r>
                            <w:r w:rsidRPr="003D4E19">
                              <w:rPr>
                                <w:rFonts w:ascii="Arial" w:hAnsi="Arial" w:cs="Arial"/>
                                <w:bCs/>
                              </w:rPr>
                              <w:t>orporal was travelling in a Snat</w:t>
                            </w:r>
                            <w:r>
                              <w:rPr>
                                <w:rFonts w:ascii="Arial" w:hAnsi="Arial" w:cs="Arial"/>
                                <w:bCs/>
                              </w:rPr>
                              <w:t>c</w:t>
                            </w:r>
                            <w:r w:rsidRPr="003D4E19">
                              <w:rPr>
                                <w:rFonts w:ascii="Arial" w:hAnsi="Arial" w:cs="Arial"/>
                                <w:bCs/>
                              </w:rPr>
                              <w:t xml:space="preserve">h Land Rover, which was known to provide limited protection from IED’s. </w:t>
                            </w:r>
                          </w:p>
                          <w:p w14:paraId="25B23354" w14:textId="77777777" w:rsidR="0043641F" w:rsidRPr="003D4E19" w:rsidRDefault="0043641F" w:rsidP="0043641F">
                            <w:pPr>
                              <w:jc w:val="both"/>
                              <w:rPr>
                                <w:rFonts w:ascii="Arial" w:hAnsi="Arial" w:cs="Arial"/>
                                <w:bCs/>
                              </w:rPr>
                            </w:pPr>
                            <w:r w:rsidRPr="003D4E19">
                              <w:rPr>
                                <w:rFonts w:ascii="Arial" w:hAnsi="Arial" w:cs="Arial"/>
                                <w:bCs/>
                              </w:rPr>
                              <w:t>Combat immunity was engaged, as the incident happened on Tour. Solicitors on behalf of the deceased’s family alleged that the decision to provide inadequate equipment was made in Westminster, not on the battlefield (</w:t>
                            </w:r>
                            <w:r w:rsidRPr="003D4E19">
                              <w:rPr>
                                <w:rFonts w:ascii="Arial" w:hAnsi="Arial" w:cs="Arial"/>
                                <w:bCs/>
                                <w:i/>
                                <w:iCs/>
                              </w:rPr>
                              <w:t>Smith v MoD</w:t>
                            </w:r>
                            <w:r w:rsidRPr="003D4E19">
                              <w:rPr>
                                <w:rFonts w:ascii="Arial" w:hAnsi="Arial" w:cs="Arial"/>
                                <w:bCs/>
                              </w:rPr>
                              <w:t xml:space="preserve">). </w:t>
                            </w:r>
                          </w:p>
                          <w:p w14:paraId="4067E406" w14:textId="77777777" w:rsidR="0043641F" w:rsidRPr="003D4E19" w:rsidRDefault="0043641F" w:rsidP="0043641F">
                            <w:pPr>
                              <w:jc w:val="both"/>
                              <w:rPr>
                                <w:rFonts w:ascii="Arial" w:hAnsi="Arial" w:cs="Arial"/>
                              </w:rPr>
                            </w:pPr>
                            <w:r w:rsidRPr="003D4E19">
                              <w:rPr>
                                <w:rFonts w:ascii="Arial" w:hAnsi="Arial" w:cs="Arial"/>
                              </w:rPr>
                              <w:t xml:space="preserve">A claim was not pursued on behalf of the Estate due to instantaneous nature of the death.  The Deceased’s family claimed as ‘victims’ as required by s7(7) Human Rights Act 1998 and Article 34 of the European Convention on Human Rights. Solicitors for the deceased’s family argued that the making of an award was necessary to ensure ‘just recompense’ since there will be no other method by which non-pecuniary losses could be marked and compensated for. </w:t>
                            </w:r>
                          </w:p>
                          <w:p w14:paraId="6CA39118" w14:textId="77777777" w:rsidR="0043641F" w:rsidRDefault="0043641F" w:rsidP="004364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C5424" id="_x0000_s1027" type="#_x0000_t202" style="position:absolute;left:0;text-align:left;margin-left:-8.35pt;margin-top:243.1pt;width:454.8pt;height:20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">
                <v:textbox>
                  <w:txbxContent>
                    <w:p w14:paraId="58F0B241" w14:textId="77777777" w:rsidR="0043641F" w:rsidRPr="00036E3E" w:rsidRDefault="0043641F" w:rsidP="0043641F">
                      <w:pPr>
                        <w:jc w:val="both"/>
                        <w:rPr>
                          <w:rFonts w:ascii="Arial" w:hAnsi="Arial" w:cs="Arial"/>
                          <w:b/>
                        </w:rPr>
                      </w:pPr>
                      <w:r>
                        <w:rPr>
                          <w:rFonts w:ascii="Arial" w:hAnsi="Arial" w:cs="Arial"/>
                          <w:b/>
                        </w:rPr>
                        <w:t>Case study two</w:t>
                      </w:r>
                    </w:p>
                    <w:p w14:paraId="24F3528A" w14:textId="77777777" w:rsidR="0043641F" w:rsidRPr="003D4E19" w:rsidRDefault="0043641F" w:rsidP="0043641F">
                      <w:pPr>
                        <w:jc w:val="both"/>
                        <w:rPr>
                          <w:rFonts w:ascii="Arial" w:hAnsi="Arial" w:cs="Arial"/>
                          <w:bCs/>
                        </w:rPr>
                      </w:pPr>
                      <w:r w:rsidRPr="003D4E19">
                        <w:rPr>
                          <w:rFonts w:ascii="Arial" w:hAnsi="Arial" w:cs="Arial"/>
                          <w:bCs/>
                        </w:rPr>
                        <w:t xml:space="preserve">A Corporal was killed following an IED explosion in Iraq in January 2006. The </w:t>
                      </w:r>
                      <w:r>
                        <w:rPr>
                          <w:rFonts w:ascii="Arial" w:hAnsi="Arial" w:cs="Arial"/>
                          <w:bCs/>
                        </w:rPr>
                        <w:t>C</w:t>
                      </w:r>
                      <w:r w:rsidRPr="003D4E19">
                        <w:rPr>
                          <w:rFonts w:ascii="Arial" w:hAnsi="Arial" w:cs="Arial"/>
                          <w:bCs/>
                        </w:rPr>
                        <w:t>orporal was travelling in a Snat</w:t>
                      </w:r>
                      <w:r>
                        <w:rPr>
                          <w:rFonts w:ascii="Arial" w:hAnsi="Arial" w:cs="Arial"/>
                          <w:bCs/>
                        </w:rPr>
                        <w:t>c</w:t>
                      </w:r>
                      <w:r w:rsidRPr="003D4E19">
                        <w:rPr>
                          <w:rFonts w:ascii="Arial" w:hAnsi="Arial" w:cs="Arial"/>
                          <w:bCs/>
                        </w:rPr>
                        <w:t xml:space="preserve">h Land Rover, which was known to provide limited protection from IED’s. </w:t>
                      </w:r>
                    </w:p>
                    <w:p w14:paraId="25B23354" w14:textId="77777777" w:rsidR="0043641F" w:rsidRPr="003D4E19" w:rsidRDefault="0043641F" w:rsidP="0043641F">
                      <w:pPr>
                        <w:jc w:val="both"/>
                        <w:rPr>
                          <w:rFonts w:ascii="Arial" w:hAnsi="Arial" w:cs="Arial"/>
                          <w:bCs/>
                        </w:rPr>
                      </w:pPr>
                      <w:r w:rsidRPr="003D4E19">
                        <w:rPr>
                          <w:rFonts w:ascii="Arial" w:hAnsi="Arial" w:cs="Arial"/>
                          <w:bCs/>
                        </w:rPr>
                        <w:t>Combat immunity was engaged, as the incident happened on Tour. Solicitors on behalf of the deceased’s family alleged that the decision to provide inadequate equipment was made in Westminster, not on the battlefield (</w:t>
                      </w:r>
                      <w:r w:rsidRPr="003D4E19">
                        <w:rPr>
                          <w:rFonts w:ascii="Arial" w:hAnsi="Arial" w:cs="Arial"/>
                          <w:bCs/>
                          <w:i/>
                          <w:iCs/>
                        </w:rPr>
                        <w:t>Smith v MoD</w:t>
                      </w:r>
                      <w:r w:rsidRPr="003D4E19">
                        <w:rPr>
                          <w:rFonts w:ascii="Arial" w:hAnsi="Arial" w:cs="Arial"/>
                          <w:bCs/>
                        </w:rPr>
                        <w:t xml:space="preserve">). </w:t>
                      </w:r>
                    </w:p>
                    <w:p w14:paraId="4067E406" w14:textId="77777777" w:rsidR="0043641F" w:rsidRPr="003D4E19" w:rsidRDefault="0043641F" w:rsidP="0043641F">
                      <w:pPr>
                        <w:jc w:val="both"/>
                        <w:rPr>
                          <w:rFonts w:ascii="Arial" w:hAnsi="Arial" w:cs="Arial"/>
                        </w:rPr>
                      </w:pPr>
                      <w:r w:rsidRPr="003D4E19">
                        <w:rPr>
                          <w:rFonts w:ascii="Arial" w:hAnsi="Arial" w:cs="Arial"/>
                        </w:rPr>
                        <w:t xml:space="preserve">A claim was not pursued on behalf of the Estate due to instantaneous nature of the death.  The Deceased’s family claimed as ‘victims’ as required by s7(7) Human Rights Act 1998 and Article 34 of the European Convention on Human Rights. Solicitors for the deceased’s family argued that the making of an award was necessary to ensure ‘just recompense’ since there will be no other method by which non-pecuniary losses could be marked and compensated for. </w:t>
                      </w:r>
                    </w:p>
                    <w:p w14:paraId="6CA39118" w14:textId="77777777" w:rsidR="0043641F" w:rsidRDefault="0043641F" w:rsidP="0043641F"/>
                  </w:txbxContent>
                </v:textbox>
                <w10:wrap type="square" anchorx="margin"/>
              </v:shape>
            </w:pict>
          </mc:Fallback>
        </mc:AlternateContent>
      </w:r>
      <w:r w:rsidRPr="007657D8">
        <w:rPr>
          <w:rFonts w:ascii="Arial" w:hAnsi="Arial" w:cs="Arial"/>
          <w:b/>
          <w:bCs/>
          <w:noProof/>
          <w:lang w:val="en-US"/>
        </w:rPr>
        <mc:AlternateContent>
          <mc:Choice Requires="wps">
            <w:drawing>
              <wp:anchor distT="45720" distB="45720" distL="114300" distR="114300" simplePos="0" relativeHeight="251659264" behindDoc="0" locked="0" layoutInCell="1" allowOverlap="1" wp14:anchorId="46DB1210" wp14:editId="1D84923E">
                <wp:simplePos x="0" y="0"/>
                <wp:positionH relativeFrom="margin">
                  <wp:posOffset>-84666</wp:posOffset>
                </wp:positionH>
                <wp:positionV relativeFrom="paragraph">
                  <wp:posOffset>643467</wp:posOffset>
                </wp:positionV>
                <wp:extent cx="5775960" cy="21945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194560"/>
                        </a:xfrm>
                        <a:prstGeom prst="rect">
                          <a:avLst/>
                        </a:prstGeom>
                        <a:solidFill>
                          <a:srgbClr val="FFFFFF"/>
                        </a:solidFill>
                        <a:ln w="9525">
                          <a:solidFill>
                            <a:srgbClr val="000000"/>
                          </a:solidFill>
                          <a:miter lim="800000"/>
                          <a:headEnd/>
                          <a:tailEnd/>
                        </a:ln>
                      </wps:spPr>
                      <wps:txbx>
                        <w:txbxContent>
                          <w:p w14:paraId="5EA37591" w14:textId="4D0F8A48" w:rsidR="007657D8" w:rsidRPr="00036E3E" w:rsidRDefault="007657D8" w:rsidP="007657D8">
                            <w:pPr>
                              <w:shd w:val="clear" w:color="auto" w:fill="FFFFFF"/>
                              <w:spacing w:before="100" w:beforeAutospacing="1" w:after="100" w:afterAutospacing="1"/>
                              <w:jc w:val="both"/>
                              <w:rPr>
                                <w:rFonts w:ascii="Arial" w:hAnsi="Arial" w:cs="Arial"/>
                                <w:b/>
                                <w:bCs/>
                                <w:lang w:eastAsia="en-GB"/>
                              </w:rPr>
                            </w:pPr>
                            <w:r>
                              <w:rPr>
                                <w:rFonts w:ascii="Arial" w:hAnsi="Arial" w:cs="Arial"/>
                                <w:b/>
                                <w:bCs/>
                                <w:lang w:eastAsia="en-GB"/>
                              </w:rPr>
                              <w:t>Case study one</w:t>
                            </w:r>
                          </w:p>
                          <w:p w14:paraId="15DBDD5B" w14:textId="6549E357" w:rsidR="007657D8" w:rsidRDefault="007657D8" w:rsidP="007657D8">
                            <w:pPr>
                              <w:shd w:val="clear" w:color="auto" w:fill="FFFFFF"/>
                              <w:spacing w:before="100" w:beforeAutospacing="1" w:after="100" w:afterAutospacing="1"/>
                              <w:jc w:val="both"/>
                              <w:rPr>
                                <w:rFonts w:ascii="Arial" w:hAnsi="Arial" w:cs="Arial"/>
                                <w:lang w:eastAsia="en-GB"/>
                              </w:rPr>
                            </w:pPr>
                            <w:r>
                              <w:rPr>
                                <w:rFonts w:ascii="Arial" w:hAnsi="Arial" w:cs="Arial"/>
                                <w:lang w:eastAsia="en-GB"/>
                              </w:rPr>
                              <w:t xml:space="preserve">Ms A </w:t>
                            </w:r>
                            <w:r w:rsidRPr="003D4E19">
                              <w:rPr>
                                <w:rFonts w:ascii="Arial" w:hAnsi="Arial" w:cs="Arial"/>
                                <w:lang w:eastAsia="en-GB"/>
                              </w:rPr>
                              <w:t xml:space="preserve">was over eighteen at the time of her death and had no financial dependents. </w:t>
                            </w:r>
                            <w:r>
                              <w:rPr>
                                <w:rFonts w:ascii="Arial" w:hAnsi="Arial" w:cs="Arial"/>
                                <w:lang w:eastAsia="en-GB"/>
                              </w:rPr>
                              <w:t xml:space="preserve">She was an Officer Cadet embarking on a promising military career. Her </w:t>
                            </w:r>
                            <w:r w:rsidRPr="003D4E19">
                              <w:rPr>
                                <w:rFonts w:ascii="Arial" w:hAnsi="Arial" w:cs="Arial"/>
                                <w:lang w:eastAsia="en-GB"/>
                              </w:rPr>
                              <w:t xml:space="preserve">parents are </w:t>
                            </w:r>
                            <w:r>
                              <w:rPr>
                                <w:rFonts w:ascii="Arial" w:hAnsi="Arial" w:cs="Arial"/>
                                <w:lang w:eastAsia="en-GB"/>
                              </w:rPr>
                              <w:t>in</w:t>
                            </w:r>
                            <w:r w:rsidRPr="003D4E19">
                              <w:rPr>
                                <w:rFonts w:ascii="Arial" w:hAnsi="Arial" w:cs="Arial"/>
                                <w:lang w:eastAsia="en-GB"/>
                              </w:rPr>
                              <w:t xml:space="preserve">eligible for a bereavement award, and </w:t>
                            </w:r>
                            <w:r>
                              <w:rPr>
                                <w:rFonts w:ascii="Arial" w:hAnsi="Arial" w:cs="Arial"/>
                                <w:lang w:eastAsia="en-GB"/>
                              </w:rPr>
                              <w:t>they were not financially reliant on Ms A at the time of her death</w:t>
                            </w:r>
                            <w:r w:rsidRPr="003D4E19">
                              <w:rPr>
                                <w:rFonts w:ascii="Arial" w:hAnsi="Arial" w:cs="Arial"/>
                                <w:lang w:eastAsia="en-GB"/>
                              </w:rPr>
                              <w:t xml:space="preserve">. </w:t>
                            </w:r>
                          </w:p>
                          <w:p w14:paraId="2EC7AE4C" w14:textId="77777777" w:rsidR="007657D8" w:rsidRDefault="007657D8" w:rsidP="007657D8">
                            <w:pPr>
                              <w:shd w:val="clear" w:color="auto" w:fill="FFFFFF"/>
                              <w:spacing w:before="100" w:beforeAutospacing="1" w:after="100" w:afterAutospacing="1"/>
                              <w:jc w:val="both"/>
                              <w:rPr>
                                <w:rFonts w:ascii="Arial" w:hAnsi="Arial" w:cs="Arial"/>
                                <w:lang w:eastAsia="en-GB"/>
                              </w:rPr>
                            </w:pPr>
                            <w:r>
                              <w:rPr>
                                <w:rFonts w:ascii="Arial" w:hAnsi="Arial" w:cs="Arial"/>
                                <w:lang w:eastAsia="en-GB"/>
                              </w:rPr>
                              <w:t xml:space="preserve">The evidence points to both a systemic failure and a breach of the operational duty to protect Ms A’s right to life on the part of the MoD. </w:t>
                            </w:r>
                          </w:p>
                          <w:p w14:paraId="3D7662F7" w14:textId="77777777" w:rsidR="007657D8" w:rsidRPr="003D4E19" w:rsidRDefault="007657D8" w:rsidP="007657D8">
                            <w:pPr>
                              <w:shd w:val="clear" w:color="auto" w:fill="FFFFFF"/>
                              <w:spacing w:before="100" w:beforeAutospacing="1" w:after="100" w:afterAutospacing="1"/>
                              <w:jc w:val="both"/>
                              <w:rPr>
                                <w:rFonts w:ascii="Arial" w:hAnsi="Arial" w:cs="Arial"/>
                                <w:lang w:eastAsia="en-GB"/>
                              </w:rPr>
                            </w:pPr>
                            <w:r w:rsidRPr="003D4E19">
                              <w:rPr>
                                <w:rFonts w:ascii="Arial" w:hAnsi="Arial" w:cs="Arial"/>
                                <w:lang w:eastAsia="en-GB"/>
                              </w:rPr>
                              <w:t xml:space="preserve">The </w:t>
                            </w:r>
                            <w:r w:rsidRPr="00E37F44">
                              <w:rPr>
                                <w:rFonts w:ascii="Arial" w:hAnsi="Arial" w:cs="Arial"/>
                                <w:i/>
                                <w:lang w:eastAsia="en-GB"/>
                              </w:rPr>
                              <w:t>only</w:t>
                            </w:r>
                            <w:r>
                              <w:rPr>
                                <w:rFonts w:ascii="Arial" w:hAnsi="Arial" w:cs="Arial"/>
                                <w:lang w:eastAsia="en-GB"/>
                              </w:rPr>
                              <w:t xml:space="preserve"> compensation route available to Ms A’s</w:t>
                            </w:r>
                            <w:r w:rsidRPr="003D4E19">
                              <w:rPr>
                                <w:rFonts w:ascii="Arial" w:hAnsi="Arial" w:cs="Arial"/>
                                <w:lang w:eastAsia="en-GB"/>
                              </w:rPr>
                              <w:t xml:space="preserve"> family will be through </w:t>
                            </w:r>
                            <w:r>
                              <w:rPr>
                                <w:rFonts w:ascii="Arial" w:hAnsi="Arial" w:cs="Arial"/>
                                <w:lang w:eastAsia="en-GB"/>
                              </w:rPr>
                              <w:t xml:space="preserve">the </w:t>
                            </w:r>
                            <w:r w:rsidRPr="003D4E19">
                              <w:rPr>
                                <w:rFonts w:ascii="Arial" w:hAnsi="Arial" w:cs="Arial"/>
                                <w:lang w:eastAsia="en-GB"/>
                              </w:rPr>
                              <w:t>Human Rights Act.</w:t>
                            </w:r>
                          </w:p>
                          <w:p w14:paraId="3592B1D7" w14:textId="0A5DDDFB" w:rsidR="007657D8" w:rsidRDefault="00765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B1210" id="_x0000_s1028" type="#_x0000_t202" style="position:absolute;left:0;text-align:left;margin-left:-6.65pt;margin-top:50.65pt;width:454.8pt;height:17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">
                <v:textbox>
                  <w:txbxContent>
                    <w:p w14:paraId="5EA37591" w14:textId="4D0F8A48" w:rsidR="007657D8" w:rsidRPr="00036E3E" w:rsidRDefault="007657D8" w:rsidP="007657D8">
                      <w:pPr>
                        <w:shd w:val="clear" w:color="auto" w:fill="FFFFFF"/>
                        <w:spacing w:before="100" w:beforeAutospacing="1" w:after="100" w:afterAutospacing="1"/>
                        <w:jc w:val="both"/>
                        <w:rPr>
                          <w:rFonts w:ascii="Arial" w:hAnsi="Arial" w:cs="Arial"/>
                          <w:b/>
                          <w:bCs/>
                          <w:lang w:eastAsia="en-GB"/>
                        </w:rPr>
                      </w:pPr>
                      <w:r>
                        <w:rPr>
                          <w:rFonts w:ascii="Arial" w:hAnsi="Arial" w:cs="Arial"/>
                          <w:b/>
                          <w:bCs/>
                          <w:lang w:eastAsia="en-GB"/>
                        </w:rPr>
                        <w:t>Case study one</w:t>
                      </w:r>
                    </w:p>
                    <w:p w14:paraId="15DBDD5B" w14:textId="6549E357" w:rsidR="007657D8" w:rsidRDefault="007657D8" w:rsidP="007657D8">
                      <w:pPr>
                        <w:shd w:val="clear" w:color="auto" w:fill="FFFFFF"/>
                        <w:spacing w:before="100" w:beforeAutospacing="1" w:after="100" w:afterAutospacing="1"/>
                        <w:jc w:val="both"/>
                        <w:rPr>
                          <w:rFonts w:ascii="Arial" w:hAnsi="Arial" w:cs="Arial"/>
                          <w:lang w:eastAsia="en-GB"/>
                        </w:rPr>
                      </w:pPr>
                      <w:r>
                        <w:rPr>
                          <w:rFonts w:ascii="Arial" w:hAnsi="Arial" w:cs="Arial"/>
                          <w:lang w:eastAsia="en-GB"/>
                        </w:rPr>
                        <w:t xml:space="preserve">Ms A </w:t>
                      </w:r>
                      <w:r w:rsidRPr="003D4E19">
                        <w:rPr>
                          <w:rFonts w:ascii="Arial" w:hAnsi="Arial" w:cs="Arial"/>
                          <w:lang w:eastAsia="en-GB"/>
                        </w:rPr>
                        <w:t xml:space="preserve">was over eighteen at the time of her death and had no financial dependents. </w:t>
                      </w:r>
                      <w:r>
                        <w:rPr>
                          <w:rFonts w:ascii="Arial" w:hAnsi="Arial" w:cs="Arial"/>
                          <w:lang w:eastAsia="en-GB"/>
                        </w:rPr>
                        <w:t xml:space="preserve">She was an Officer Cadet embarking on a promising military career. Her </w:t>
                      </w:r>
                      <w:r w:rsidRPr="003D4E19">
                        <w:rPr>
                          <w:rFonts w:ascii="Arial" w:hAnsi="Arial" w:cs="Arial"/>
                          <w:lang w:eastAsia="en-GB"/>
                        </w:rPr>
                        <w:t xml:space="preserve">parents are </w:t>
                      </w:r>
                      <w:r>
                        <w:rPr>
                          <w:rFonts w:ascii="Arial" w:hAnsi="Arial" w:cs="Arial"/>
                          <w:lang w:eastAsia="en-GB"/>
                        </w:rPr>
                        <w:t>in</w:t>
                      </w:r>
                      <w:r w:rsidRPr="003D4E19">
                        <w:rPr>
                          <w:rFonts w:ascii="Arial" w:hAnsi="Arial" w:cs="Arial"/>
                          <w:lang w:eastAsia="en-GB"/>
                        </w:rPr>
                        <w:t xml:space="preserve">eligible for a bereavement award, and </w:t>
                      </w:r>
                      <w:r>
                        <w:rPr>
                          <w:rFonts w:ascii="Arial" w:hAnsi="Arial" w:cs="Arial"/>
                          <w:lang w:eastAsia="en-GB"/>
                        </w:rPr>
                        <w:t>they were not financially reliant on Ms A at the time of her death</w:t>
                      </w:r>
                      <w:r w:rsidRPr="003D4E19">
                        <w:rPr>
                          <w:rFonts w:ascii="Arial" w:hAnsi="Arial" w:cs="Arial"/>
                          <w:lang w:eastAsia="en-GB"/>
                        </w:rPr>
                        <w:t xml:space="preserve">. </w:t>
                      </w:r>
                    </w:p>
                    <w:p w14:paraId="2EC7AE4C" w14:textId="77777777" w:rsidR="007657D8" w:rsidRDefault="007657D8" w:rsidP="007657D8">
                      <w:pPr>
                        <w:shd w:val="clear" w:color="auto" w:fill="FFFFFF"/>
                        <w:spacing w:before="100" w:beforeAutospacing="1" w:after="100" w:afterAutospacing="1"/>
                        <w:jc w:val="both"/>
                        <w:rPr>
                          <w:rFonts w:ascii="Arial" w:hAnsi="Arial" w:cs="Arial"/>
                          <w:lang w:eastAsia="en-GB"/>
                        </w:rPr>
                      </w:pPr>
                      <w:r>
                        <w:rPr>
                          <w:rFonts w:ascii="Arial" w:hAnsi="Arial" w:cs="Arial"/>
                          <w:lang w:eastAsia="en-GB"/>
                        </w:rPr>
                        <w:t xml:space="preserve">The evidence points to both a systemic failure and a breach of the operational duty to protect Ms A’s right to life on the part of the MoD. </w:t>
                      </w:r>
                    </w:p>
                    <w:p w14:paraId="3D7662F7" w14:textId="77777777" w:rsidR="007657D8" w:rsidRPr="003D4E19" w:rsidRDefault="007657D8" w:rsidP="007657D8">
                      <w:pPr>
                        <w:shd w:val="clear" w:color="auto" w:fill="FFFFFF"/>
                        <w:spacing w:before="100" w:beforeAutospacing="1" w:after="100" w:afterAutospacing="1"/>
                        <w:jc w:val="both"/>
                        <w:rPr>
                          <w:rFonts w:ascii="Arial" w:hAnsi="Arial" w:cs="Arial"/>
                          <w:lang w:eastAsia="en-GB"/>
                        </w:rPr>
                      </w:pPr>
                      <w:r w:rsidRPr="003D4E19">
                        <w:rPr>
                          <w:rFonts w:ascii="Arial" w:hAnsi="Arial" w:cs="Arial"/>
                          <w:lang w:eastAsia="en-GB"/>
                        </w:rPr>
                        <w:t xml:space="preserve">The </w:t>
                      </w:r>
                      <w:r w:rsidRPr="00E37F44">
                        <w:rPr>
                          <w:rFonts w:ascii="Arial" w:hAnsi="Arial" w:cs="Arial"/>
                          <w:i/>
                          <w:lang w:eastAsia="en-GB"/>
                        </w:rPr>
                        <w:t>only</w:t>
                      </w:r>
                      <w:r>
                        <w:rPr>
                          <w:rFonts w:ascii="Arial" w:hAnsi="Arial" w:cs="Arial"/>
                          <w:lang w:eastAsia="en-GB"/>
                        </w:rPr>
                        <w:t xml:space="preserve"> compensation route available to Ms A’s</w:t>
                      </w:r>
                      <w:r w:rsidRPr="003D4E19">
                        <w:rPr>
                          <w:rFonts w:ascii="Arial" w:hAnsi="Arial" w:cs="Arial"/>
                          <w:lang w:eastAsia="en-GB"/>
                        </w:rPr>
                        <w:t xml:space="preserve"> family will be through </w:t>
                      </w:r>
                      <w:r>
                        <w:rPr>
                          <w:rFonts w:ascii="Arial" w:hAnsi="Arial" w:cs="Arial"/>
                          <w:lang w:eastAsia="en-GB"/>
                        </w:rPr>
                        <w:t xml:space="preserve">the </w:t>
                      </w:r>
                      <w:r w:rsidRPr="003D4E19">
                        <w:rPr>
                          <w:rFonts w:ascii="Arial" w:hAnsi="Arial" w:cs="Arial"/>
                          <w:lang w:eastAsia="en-GB"/>
                        </w:rPr>
                        <w:t>Human Rights Act.</w:t>
                      </w:r>
                    </w:p>
                    <w:p w14:paraId="3592B1D7" w14:textId="0A5DDDFB" w:rsidR="007657D8" w:rsidRDefault="007657D8"/>
                  </w:txbxContent>
                </v:textbox>
                <w10:wrap type="square" anchorx="margin"/>
              </v:shape>
            </w:pict>
          </mc:Fallback>
        </mc:AlternateContent>
      </w:r>
      <w:r w:rsidR="004007A2" w:rsidRPr="003D4E19">
        <w:rPr>
          <w:rFonts w:ascii="Arial" w:hAnsi="Arial" w:cs="Arial"/>
          <w:bCs/>
        </w:rPr>
        <w:t xml:space="preserve">The case studies below highlight how claims under </w:t>
      </w:r>
      <w:r w:rsidR="00A32BBE" w:rsidRPr="003D4E19">
        <w:rPr>
          <w:rFonts w:ascii="Arial" w:hAnsi="Arial" w:cs="Arial"/>
          <w:bCs/>
        </w:rPr>
        <w:t xml:space="preserve">the Human Rights Act are extremely important in allowing claimants to obtain justice, and in holding the Ministry of Defence to account. </w:t>
      </w:r>
      <w:r w:rsidR="00BB4729" w:rsidRPr="003D4E19">
        <w:rPr>
          <w:rFonts w:ascii="Arial" w:hAnsi="Arial" w:cs="Arial"/>
          <w:b/>
          <w:u w:val="single"/>
        </w:rPr>
        <w:t xml:space="preserve"> </w:t>
      </w:r>
    </w:p>
    <w:p w14:paraId="584DE7C7" w14:textId="04D37CDD" w:rsidR="009F0980" w:rsidRPr="003D4E19" w:rsidRDefault="009F0980" w:rsidP="003D4E19">
      <w:pPr>
        <w:jc w:val="both"/>
        <w:rPr>
          <w:rFonts w:ascii="Arial" w:hAnsi="Arial" w:cs="Arial"/>
          <w:i/>
          <w:iCs/>
        </w:rPr>
      </w:pPr>
      <w:r w:rsidRPr="003D4E19">
        <w:rPr>
          <w:rFonts w:ascii="Arial" w:hAnsi="Arial" w:cs="Arial"/>
          <w:i/>
          <w:iCs/>
        </w:rPr>
        <w:t>Article two inquests related to military claims</w:t>
      </w:r>
    </w:p>
    <w:p w14:paraId="66AFEEC3" w14:textId="793720BC" w:rsidR="003F3510" w:rsidRDefault="00C60730" w:rsidP="00A63B6E">
      <w:pPr>
        <w:spacing w:after="0" w:line="240" w:lineRule="auto"/>
        <w:jc w:val="both"/>
        <w:rPr>
          <w:rFonts w:ascii="Arial" w:hAnsi="Arial" w:cs="Arial"/>
          <w:szCs w:val="21"/>
        </w:rPr>
      </w:pPr>
      <w:r w:rsidRPr="00CA42BE">
        <w:rPr>
          <w:rFonts w:ascii="Arial" w:hAnsi="Arial" w:cs="Arial"/>
        </w:rPr>
        <w:t xml:space="preserve">Article two inquests are vital in allowing a deeper dive into the circumstances that lead to a person’s death, and opening up a much broader inquiry </w:t>
      </w:r>
      <w:r w:rsidR="003F3510" w:rsidRPr="00CA42BE">
        <w:rPr>
          <w:rFonts w:ascii="Arial" w:hAnsi="Arial" w:cs="Arial"/>
        </w:rPr>
        <w:t>into the circumstances of the death.</w:t>
      </w:r>
      <w:r w:rsidR="005C4086">
        <w:rPr>
          <w:rFonts w:ascii="Arial" w:hAnsi="Arial" w:cs="Arial"/>
        </w:rPr>
        <w:t xml:space="preserve"> </w:t>
      </w:r>
      <w:r w:rsidR="00CA42BE" w:rsidRPr="00036E3E">
        <w:rPr>
          <w:rFonts w:ascii="Arial" w:hAnsi="Arial" w:cs="Arial"/>
          <w:szCs w:val="21"/>
        </w:rPr>
        <w:t xml:space="preserve">The </w:t>
      </w:r>
      <w:r w:rsidR="00D81824">
        <w:rPr>
          <w:rFonts w:ascii="Arial" w:hAnsi="Arial" w:cs="Arial"/>
          <w:szCs w:val="21"/>
        </w:rPr>
        <w:t>c</w:t>
      </w:r>
      <w:r w:rsidR="00CA42BE" w:rsidRPr="00D81824">
        <w:rPr>
          <w:rFonts w:ascii="Arial" w:hAnsi="Arial" w:cs="Arial"/>
          <w:szCs w:val="21"/>
        </w:rPr>
        <w:t xml:space="preserve">oroner has an inquisitorial role and usually has to only look at four questions: who, where, when and how an individual died. </w:t>
      </w:r>
      <w:r w:rsidR="00D81824">
        <w:rPr>
          <w:rFonts w:ascii="Arial" w:hAnsi="Arial" w:cs="Arial"/>
          <w:szCs w:val="21"/>
        </w:rPr>
        <w:t>W</w:t>
      </w:r>
      <w:r w:rsidR="00CA42BE" w:rsidRPr="007657D8">
        <w:rPr>
          <w:rFonts w:ascii="Arial" w:hAnsi="Arial" w:cs="Arial"/>
          <w:szCs w:val="21"/>
        </w:rPr>
        <w:t>hen Article 2 is engaged</w:t>
      </w:r>
      <w:r w:rsidR="00D81824">
        <w:rPr>
          <w:rFonts w:ascii="Arial" w:hAnsi="Arial" w:cs="Arial"/>
          <w:szCs w:val="21"/>
        </w:rPr>
        <w:t>, however,</w:t>
      </w:r>
      <w:r w:rsidR="00CA42BE" w:rsidRPr="00036E3E">
        <w:rPr>
          <w:rFonts w:ascii="Arial" w:hAnsi="Arial" w:cs="Arial"/>
          <w:szCs w:val="21"/>
        </w:rPr>
        <w:t xml:space="preserve"> the </w:t>
      </w:r>
      <w:r w:rsidR="004609F0">
        <w:rPr>
          <w:rFonts w:ascii="Arial" w:hAnsi="Arial" w:cs="Arial"/>
          <w:szCs w:val="21"/>
        </w:rPr>
        <w:t>c</w:t>
      </w:r>
      <w:r w:rsidR="00CA42BE" w:rsidRPr="00036E3E">
        <w:rPr>
          <w:rFonts w:ascii="Arial" w:hAnsi="Arial" w:cs="Arial"/>
          <w:szCs w:val="21"/>
        </w:rPr>
        <w:t>oroner will explore ‘how and in what circumstances’ a person died, which allows for a much wider analysis</w:t>
      </w:r>
      <w:r w:rsidR="002924C1">
        <w:rPr>
          <w:rFonts w:ascii="Arial" w:hAnsi="Arial" w:cs="Arial"/>
          <w:szCs w:val="21"/>
        </w:rPr>
        <w:t xml:space="preserve"> and, ultimately, for lessons to be learned that could save lives in the future.</w:t>
      </w:r>
      <w:r w:rsidR="00CA42BE" w:rsidRPr="00D81824">
        <w:rPr>
          <w:rFonts w:ascii="Arial" w:hAnsi="Arial" w:cs="Arial"/>
          <w:szCs w:val="21"/>
        </w:rPr>
        <w:t xml:space="preserve"> </w:t>
      </w:r>
    </w:p>
    <w:p w14:paraId="0667AF1F" w14:textId="77777777" w:rsidR="00A63B6E" w:rsidRPr="00A63B6E" w:rsidRDefault="00A63B6E" w:rsidP="00A63B6E">
      <w:pPr>
        <w:spacing w:after="0" w:line="240" w:lineRule="auto"/>
        <w:jc w:val="both"/>
        <w:rPr>
          <w:rFonts w:ascii="Arial" w:hAnsi="Arial" w:cs="Arial"/>
          <w:szCs w:val="21"/>
        </w:rPr>
      </w:pPr>
    </w:p>
    <w:p w14:paraId="52B5EA8A" w14:textId="04D0FE4A" w:rsidR="00997358" w:rsidRPr="003D4E19" w:rsidRDefault="00997358" w:rsidP="003D4E19">
      <w:pPr>
        <w:jc w:val="both"/>
        <w:rPr>
          <w:rFonts w:ascii="Arial" w:hAnsi="Arial" w:cs="Arial"/>
        </w:rPr>
      </w:pPr>
      <w:r w:rsidRPr="003D4E19">
        <w:rPr>
          <w:rFonts w:ascii="Arial" w:hAnsi="Arial" w:cs="Arial"/>
        </w:rPr>
        <w:t xml:space="preserve">Inquests are an important method of bringing the MoD to account, and helping to ensure policy changes so that other families do not have to suffer. Additionally, as of January 2022, a finding of </w:t>
      </w:r>
      <w:r w:rsidR="007657D8">
        <w:rPr>
          <w:rFonts w:ascii="Arial" w:hAnsi="Arial" w:cs="Arial"/>
        </w:rPr>
        <w:t xml:space="preserve">an </w:t>
      </w:r>
      <w:proofErr w:type="gramStart"/>
      <w:r w:rsidR="003F3510">
        <w:rPr>
          <w:rFonts w:ascii="Arial" w:hAnsi="Arial" w:cs="Arial"/>
        </w:rPr>
        <w:t>A</w:t>
      </w:r>
      <w:r w:rsidRPr="003D4E19">
        <w:rPr>
          <w:rFonts w:ascii="Arial" w:hAnsi="Arial" w:cs="Arial"/>
        </w:rPr>
        <w:t>rticle</w:t>
      </w:r>
      <w:proofErr w:type="gramEnd"/>
      <w:r w:rsidRPr="003D4E19">
        <w:rPr>
          <w:rFonts w:ascii="Arial" w:hAnsi="Arial" w:cs="Arial"/>
        </w:rPr>
        <w:t xml:space="preserve"> 2 breach will mean that a family can receive non means tested funding to allow them to have legal representation at an inquest of their loved one. Inquests are often extremely daunting for the deceased’s family, and it is important that they are represented to ensure an equality of arms. While there are no suggestions within the consultation that coroners will not be able to continue to investigate deaths where there is a breach of Article 2, we fear that if it is more difficult to bring a human rights claim, it may also become more difficult to prove that Article 2 is engaged</w:t>
      </w:r>
      <w:r w:rsidR="00590DDE" w:rsidRPr="003D4E19">
        <w:rPr>
          <w:rFonts w:ascii="Arial" w:hAnsi="Arial" w:cs="Arial"/>
        </w:rPr>
        <w:t xml:space="preserve"> for the purposes of an inquest</w:t>
      </w:r>
      <w:r w:rsidRPr="003D4E19">
        <w:rPr>
          <w:rFonts w:ascii="Arial" w:hAnsi="Arial" w:cs="Arial"/>
        </w:rPr>
        <w:t>.</w:t>
      </w:r>
    </w:p>
    <w:p w14:paraId="27F38567" w14:textId="04D8B27F" w:rsidR="00C60730" w:rsidRDefault="00997358" w:rsidP="003D4E19">
      <w:pPr>
        <w:jc w:val="both"/>
        <w:rPr>
          <w:rFonts w:ascii="Arial" w:hAnsi="Arial" w:cs="Arial"/>
        </w:rPr>
      </w:pPr>
      <w:r w:rsidRPr="003D4E19">
        <w:rPr>
          <w:rFonts w:ascii="Arial" w:hAnsi="Arial" w:cs="Arial"/>
        </w:rPr>
        <w:lastRenderedPageBreak/>
        <w:t xml:space="preserve">Even if the decisions as to whether circumstances warrant an Article 2 inquest remain unaffected by the proposals, the proposals </w:t>
      </w:r>
      <w:r w:rsidR="00943042" w:rsidRPr="003D4E19">
        <w:rPr>
          <w:rFonts w:ascii="Arial" w:hAnsi="Arial" w:cs="Arial"/>
        </w:rPr>
        <w:t>are likely to</w:t>
      </w:r>
      <w:r w:rsidRPr="003D4E19">
        <w:rPr>
          <w:rFonts w:ascii="Arial" w:hAnsi="Arial" w:cs="Arial"/>
        </w:rPr>
        <w:t xml:space="preserve"> make it more difficult to bring </w:t>
      </w:r>
      <w:proofErr w:type="gramStart"/>
      <w:r w:rsidRPr="003D4E19">
        <w:rPr>
          <w:rFonts w:ascii="Arial" w:hAnsi="Arial" w:cs="Arial"/>
        </w:rPr>
        <w:t>a separate human rights</w:t>
      </w:r>
      <w:proofErr w:type="gramEnd"/>
      <w:r w:rsidRPr="003D4E19">
        <w:rPr>
          <w:rFonts w:ascii="Arial" w:hAnsi="Arial" w:cs="Arial"/>
        </w:rPr>
        <w:t xml:space="preserve"> claim for compensation</w:t>
      </w:r>
      <w:r w:rsidR="00590DDE" w:rsidRPr="003D4E19">
        <w:rPr>
          <w:rFonts w:ascii="Arial" w:hAnsi="Arial" w:cs="Arial"/>
        </w:rPr>
        <w:t xml:space="preserve"> once the inquest has concluded</w:t>
      </w:r>
      <w:r w:rsidRPr="003D4E19">
        <w:rPr>
          <w:rFonts w:ascii="Arial" w:hAnsi="Arial" w:cs="Arial"/>
        </w:rPr>
        <w:t xml:space="preserve">. Inquests </w:t>
      </w:r>
      <w:r w:rsidR="00AD25AE" w:rsidRPr="0043641F">
        <w:rPr>
          <w:rFonts w:ascii="Arial" w:hAnsi="Arial" w:cs="Arial"/>
        </w:rPr>
        <w:t>can/</w:t>
      </w:r>
      <w:r w:rsidRPr="003D4E19">
        <w:rPr>
          <w:rFonts w:ascii="Arial" w:hAnsi="Arial" w:cs="Arial"/>
        </w:rPr>
        <w:t xml:space="preserve">will make findings of wrongdoing, </w:t>
      </w:r>
      <w:r w:rsidR="00943042" w:rsidRPr="003D4E19">
        <w:rPr>
          <w:rFonts w:ascii="Arial" w:hAnsi="Arial" w:cs="Arial"/>
        </w:rPr>
        <w:t xml:space="preserve">findings that the deceased’s human rights were breached, and the coroner </w:t>
      </w:r>
      <w:r w:rsidR="003F3510">
        <w:rPr>
          <w:rFonts w:ascii="Arial" w:hAnsi="Arial" w:cs="Arial"/>
        </w:rPr>
        <w:t>may</w:t>
      </w:r>
      <w:r w:rsidR="00943042" w:rsidRPr="003D4E19">
        <w:rPr>
          <w:rFonts w:ascii="Arial" w:hAnsi="Arial" w:cs="Arial"/>
        </w:rPr>
        <w:t xml:space="preserve"> issue prevention of future deaths reports</w:t>
      </w:r>
      <w:r w:rsidRPr="003D4E19">
        <w:rPr>
          <w:rFonts w:ascii="Arial" w:hAnsi="Arial" w:cs="Arial"/>
        </w:rPr>
        <w:t>,</w:t>
      </w:r>
      <w:r w:rsidR="00943042" w:rsidRPr="003D4E19">
        <w:rPr>
          <w:rFonts w:ascii="Arial" w:hAnsi="Arial" w:cs="Arial"/>
        </w:rPr>
        <w:t xml:space="preserve"> which from a military </w:t>
      </w:r>
      <w:proofErr w:type="gramStart"/>
      <w:r w:rsidR="00943042" w:rsidRPr="003D4E19">
        <w:rPr>
          <w:rFonts w:ascii="Arial" w:hAnsi="Arial" w:cs="Arial"/>
        </w:rPr>
        <w:t>claims</w:t>
      </w:r>
      <w:proofErr w:type="gramEnd"/>
      <w:r w:rsidR="00943042" w:rsidRPr="003D4E19">
        <w:rPr>
          <w:rFonts w:ascii="Arial" w:hAnsi="Arial" w:cs="Arial"/>
        </w:rPr>
        <w:t xml:space="preserve"> perspective will </w:t>
      </w:r>
      <w:r w:rsidRPr="003D4E19">
        <w:rPr>
          <w:rFonts w:ascii="Arial" w:hAnsi="Arial" w:cs="Arial"/>
        </w:rPr>
        <w:t>require the MoD to make changes to protect the health and wellbeing of personnel in the future</w:t>
      </w:r>
      <w:r w:rsidR="00943042" w:rsidRPr="003D4E19">
        <w:rPr>
          <w:rFonts w:ascii="Arial" w:hAnsi="Arial" w:cs="Arial"/>
        </w:rPr>
        <w:t xml:space="preserve">. Despite this, </w:t>
      </w:r>
      <w:r w:rsidRPr="003D4E19">
        <w:rPr>
          <w:rFonts w:ascii="Arial" w:hAnsi="Arial" w:cs="Arial"/>
        </w:rPr>
        <w:t xml:space="preserve">the family of the deceased may be unable to bring </w:t>
      </w:r>
      <w:proofErr w:type="gramStart"/>
      <w:r w:rsidRPr="003D4E19">
        <w:rPr>
          <w:rFonts w:ascii="Arial" w:hAnsi="Arial" w:cs="Arial"/>
        </w:rPr>
        <w:t>a separate human rights</w:t>
      </w:r>
      <w:proofErr w:type="gramEnd"/>
      <w:r w:rsidRPr="003D4E19">
        <w:rPr>
          <w:rFonts w:ascii="Arial" w:hAnsi="Arial" w:cs="Arial"/>
        </w:rPr>
        <w:t xml:space="preserve"> claim</w:t>
      </w:r>
      <w:r w:rsidR="00943042" w:rsidRPr="003D4E19">
        <w:rPr>
          <w:rFonts w:ascii="Arial" w:hAnsi="Arial" w:cs="Arial"/>
        </w:rPr>
        <w:t xml:space="preserve"> due to the additional hurdles being proposed.</w:t>
      </w:r>
      <w:r w:rsidRPr="003D4E19">
        <w:rPr>
          <w:rFonts w:ascii="Arial" w:hAnsi="Arial" w:cs="Arial"/>
        </w:rPr>
        <w:t xml:space="preserve"> </w:t>
      </w:r>
      <w:r w:rsidR="00943042" w:rsidRPr="003D4E19">
        <w:rPr>
          <w:rFonts w:ascii="Arial" w:hAnsi="Arial" w:cs="Arial"/>
        </w:rPr>
        <w:t xml:space="preserve">Where wrongdoing is found and the deceased’s Article 2 rights are found to have been breached, there should be the right to bring </w:t>
      </w:r>
      <w:proofErr w:type="gramStart"/>
      <w:r w:rsidR="00943042" w:rsidRPr="003D4E19">
        <w:rPr>
          <w:rFonts w:ascii="Arial" w:hAnsi="Arial" w:cs="Arial"/>
        </w:rPr>
        <w:t>a separate human rights</w:t>
      </w:r>
      <w:proofErr w:type="gramEnd"/>
      <w:r w:rsidR="00943042" w:rsidRPr="003D4E19">
        <w:rPr>
          <w:rFonts w:ascii="Arial" w:hAnsi="Arial" w:cs="Arial"/>
        </w:rPr>
        <w:t xml:space="preserve"> claim for compensation. </w:t>
      </w:r>
    </w:p>
    <w:p w14:paraId="7CC55917" w14:textId="52EFC920" w:rsidR="006F33E4" w:rsidRDefault="00BA6533" w:rsidP="003D4E19">
      <w:pPr>
        <w:jc w:val="both"/>
        <w:rPr>
          <w:rFonts w:ascii="Arial" w:hAnsi="Arial" w:cs="Arial"/>
          <w:b/>
        </w:rPr>
      </w:pPr>
      <w:r>
        <w:rPr>
          <w:rFonts w:ascii="Arial" w:hAnsi="Arial" w:cs="Arial"/>
        </w:rPr>
        <w:t xml:space="preserve">It can take a number of years for an </w:t>
      </w:r>
      <w:r w:rsidRPr="00D81824">
        <w:rPr>
          <w:rFonts w:ascii="Arial" w:hAnsi="Arial" w:cs="Arial"/>
        </w:rPr>
        <w:t xml:space="preserve">inquest to </w:t>
      </w:r>
      <w:r w:rsidR="00D81824" w:rsidRPr="00036E3E">
        <w:rPr>
          <w:rFonts w:ascii="Arial" w:hAnsi="Arial" w:cs="Arial"/>
        </w:rPr>
        <w:t xml:space="preserve">even take place, let alone </w:t>
      </w:r>
      <w:r>
        <w:rPr>
          <w:rFonts w:ascii="Arial" w:hAnsi="Arial" w:cs="Arial"/>
        </w:rPr>
        <w:t>conclude and the additional hurdles of exhaust</w:t>
      </w:r>
      <w:r w:rsidR="00AD25AE" w:rsidRPr="00D81824">
        <w:rPr>
          <w:rFonts w:ascii="Arial" w:hAnsi="Arial" w:cs="Arial"/>
        </w:rPr>
        <w:t>ing</w:t>
      </w:r>
      <w:r>
        <w:rPr>
          <w:rFonts w:ascii="Arial" w:hAnsi="Arial" w:cs="Arial"/>
        </w:rPr>
        <w:t xml:space="preserve"> every other claim before commencing proceedings under the Human Rights Acts could result in claimant</w:t>
      </w:r>
      <w:r w:rsidR="00D81824">
        <w:rPr>
          <w:rFonts w:ascii="Arial" w:hAnsi="Arial" w:cs="Arial"/>
        </w:rPr>
        <w:t>s</w:t>
      </w:r>
      <w:r w:rsidR="00D81824">
        <w:rPr>
          <w:rFonts w:ascii="Arial" w:hAnsi="Arial" w:cs="Arial"/>
          <w:color w:val="002060"/>
        </w:rPr>
        <w:t xml:space="preserve"> </w:t>
      </w:r>
      <w:r>
        <w:rPr>
          <w:rFonts w:ascii="Arial" w:hAnsi="Arial" w:cs="Arial"/>
        </w:rPr>
        <w:t xml:space="preserve">being out of time. </w:t>
      </w:r>
      <w:r w:rsidR="008B6BF5" w:rsidRPr="001F7800">
        <w:rPr>
          <w:rFonts w:ascii="Arial" w:hAnsi="Arial" w:cs="Arial"/>
          <w:noProof/>
        </w:rPr>
        <mc:AlternateContent>
          <mc:Choice Requires="wps">
            <w:drawing>
              <wp:anchor distT="45720" distB="45720" distL="114300" distR="114300" simplePos="0" relativeHeight="251663360" behindDoc="0" locked="0" layoutInCell="1" allowOverlap="1" wp14:anchorId="707F4C71" wp14:editId="6A55B7B5">
                <wp:simplePos x="0" y="0"/>
                <wp:positionH relativeFrom="margin">
                  <wp:align>left</wp:align>
                </wp:positionH>
                <wp:positionV relativeFrom="paragraph">
                  <wp:posOffset>803910</wp:posOffset>
                </wp:positionV>
                <wp:extent cx="5631180" cy="1874520"/>
                <wp:effectExtent l="0" t="0" r="2667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874520"/>
                        </a:xfrm>
                        <a:prstGeom prst="rect">
                          <a:avLst/>
                        </a:prstGeom>
                        <a:solidFill>
                          <a:srgbClr val="FFFFFF"/>
                        </a:solidFill>
                        <a:ln w="9525">
                          <a:solidFill>
                            <a:srgbClr val="000000"/>
                          </a:solidFill>
                          <a:miter lim="800000"/>
                          <a:headEnd/>
                          <a:tailEnd/>
                        </a:ln>
                      </wps:spPr>
                      <wps:txbx>
                        <w:txbxContent>
                          <w:p w14:paraId="287556F1" w14:textId="7432505C" w:rsidR="001F7800" w:rsidRPr="00036E3E" w:rsidRDefault="001F7800">
                            <w:pPr>
                              <w:rPr>
                                <w:rFonts w:ascii="Arial" w:hAnsi="Arial" w:cs="Arial"/>
                                <w:b/>
                                <w:bCs/>
                                <w:lang w:val="en-US"/>
                              </w:rPr>
                            </w:pPr>
                            <w:r w:rsidRPr="00036E3E">
                              <w:rPr>
                                <w:rFonts w:ascii="Arial" w:hAnsi="Arial" w:cs="Arial"/>
                                <w:b/>
                                <w:bCs/>
                                <w:lang w:val="en-US"/>
                              </w:rPr>
                              <w:t>Case studies three and four</w:t>
                            </w:r>
                          </w:p>
                          <w:p w14:paraId="4941D9A0" w14:textId="785F2D6F" w:rsidR="001F7800" w:rsidRPr="00036E3E" w:rsidRDefault="001F7800">
                            <w:pPr>
                              <w:rPr>
                                <w:rFonts w:ascii="Arial" w:hAnsi="Arial" w:cs="Arial"/>
                                <w:lang w:val="en-US"/>
                              </w:rPr>
                            </w:pPr>
                            <w:r w:rsidRPr="00036E3E">
                              <w:rPr>
                                <w:rFonts w:ascii="Arial" w:hAnsi="Arial" w:cs="Arial"/>
                                <w:lang w:val="en-US"/>
                              </w:rPr>
                              <w:t>One of our members acted for the family and Estate of Fusilier Dean Griffiths, who died at Lydd Range in September 2011. Following an inquest in 2013, the coroner determined that Fusilier Griffiths had died because a target was wrongly place on a wall during a simulated battle exercise. Unfortunately, Fusilier Griffiths had been standing behind the target on the other side of the wall, and suffered fatal injuries when another soldier fired at the target. The HSE, having investigated, issued a Crown Censure against the MoD for its failings to provide a safe system of work</w:t>
                            </w:r>
                            <w:r>
                              <w:rPr>
                                <w:rFonts w:ascii="Arial" w:hAnsi="Arial" w:cs="Arial"/>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4C71" id="_x0000_s1029" type="#_x0000_t202" style="position:absolute;left:0;text-align:left;margin-left:0;margin-top:63.3pt;width:443.4pt;height:147.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">
                <v:textbox>
                  <w:txbxContent>
                    <w:p w14:paraId="287556F1" w14:textId="7432505C" w:rsidR="001F7800" w:rsidRPr="00036E3E" w:rsidRDefault="001F7800">
                      <w:pPr>
                        <w:rPr>
                          <w:rFonts w:ascii="Arial" w:hAnsi="Arial" w:cs="Arial"/>
                          <w:b/>
                          <w:bCs/>
                          <w:lang w:val="en-US"/>
                        </w:rPr>
                      </w:pPr>
                      <w:r w:rsidRPr="00036E3E">
                        <w:rPr>
                          <w:rFonts w:ascii="Arial" w:hAnsi="Arial" w:cs="Arial"/>
                          <w:b/>
                          <w:bCs/>
                          <w:lang w:val="en-US"/>
                        </w:rPr>
                        <w:t>Case studies three and four</w:t>
                      </w:r>
                    </w:p>
                    <w:p w14:paraId="4941D9A0" w14:textId="785F2D6F" w:rsidR="001F7800" w:rsidRPr="00036E3E" w:rsidRDefault="001F7800">
                      <w:pPr>
                        <w:rPr>
                          <w:rFonts w:ascii="Arial" w:hAnsi="Arial" w:cs="Arial"/>
                          <w:lang w:val="en-US"/>
                        </w:rPr>
                      </w:pPr>
                      <w:r w:rsidRPr="00036E3E">
                        <w:rPr>
                          <w:rFonts w:ascii="Arial" w:hAnsi="Arial" w:cs="Arial"/>
                          <w:lang w:val="en-US"/>
                        </w:rPr>
                        <w:t>One of our members acted for the family and Estate of Fusilier Dean Griffiths, who died at Lydd Range in September 2011. Following an inquest in 2013, the coroner determined that Fusilier Griffiths had died because a target was wrongly place on a wall during a simulated battle exercise. Unfortunately, Fusilier Griffiths had been standing behind the target on the other side of the wall, and suffered fatal injuries when another soldier fired at the target. The HSE, having investigated, issued a Crown Censure against the MoD for its failings to provide a safe system of work</w:t>
                      </w:r>
                      <w:r>
                        <w:rPr>
                          <w:rFonts w:ascii="Arial" w:hAnsi="Arial" w:cs="Arial"/>
                          <w:lang w:val="en-US"/>
                        </w:rPr>
                        <w:t xml:space="preserve">. </w:t>
                      </w:r>
                    </w:p>
                  </w:txbxContent>
                </v:textbox>
                <w10:wrap type="square" anchorx="margin"/>
              </v:shape>
            </w:pict>
          </mc:Fallback>
        </mc:AlternateContent>
      </w:r>
      <w:r w:rsidR="00943042" w:rsidRPr="003D4E19">
        <w:rPr>
          <w:rFonts w:ascii="Arial" w:hAnsi="Arial" w:cs="Arial"/>
        </w:rPr>
        <w:t xml:space="preserve">From a military </w:t>
      </w:r>
      <w:proofErr w:type="gramStart"/>
      <w:r w:rsidR="00943042" w:rsidRPr="003D4E19">
        <w:rPr>
          <w:rFonts w:ascii="Arial" w:hAnsi="Arial" w:cs="Arial"/>
        </w:rPr>
        <w:t>claims</w:t>
      </w:r>
      <w:proofErr w:type="gramEnd"/>
      <w:r w:rsidR="00943042" w:rsidRPr="003D4E19">
        <w:rPr>
          <w:rFonts w:ascii="Arial" w:hAnsi="Arial" w:cs="Arial"/>
        </w:rPr>
        <w:t xml:space="preserve"> perspective, it must also be taken into account that the </w:t>
      </w:r>
      <w:r w:rsidR="002924C1">
        <w:rPr>
          <w:rFonts w:ascii="Arial" w:hAnsi="Arial" w:cs="Arial"/>
        </w:rPr>
        <w:t>MoD</w:t>
      </w:r>
      <w:r w:rsidR="00943042" w:rsidRPr="003D4E19">
        <w:rPr>
          <w:rFonts w:ascii="Arial" w:hAnsi="Arial" w:cs="Arial"/>
        </w:rPr>
        <w:t xml:space="preserve"> has been the subject of numerous </w:t>
      </w:r>
      <w:r w:rsidR="007B5DCD">
        <w:rPr>
          <w:rFonts w:ascii="Arial" w:hAnsi="Arial" w:cs="Arial"/>
        </w:rPr>
        <w:t>C</w:t>
      </w:r>
      <w:r w:rsidR="00943042" w:rsidRPr="003D4E19">
        <w:rPr>
          <w:rFonts w:ascii="Arial" w:hAnsi="Arial" w:cs="Arial"/>
        </w:rPr>
        <w:t>rown censures – there is evidence of many human rights violations by the MoD</w:t>
      </w:r>
      <w:r w:rsidR="000877B1">
        <w:rPr>
          <w:rFonts w:ascii="Arial" w:hAnsi="Arial" w:cs="Arial"/>
        </w:rPr>
        <w:t xml:space="preserve"> </w:t>
      </w:r>
      <w:r w:rsidR="000877B1" w:rsidRPr="00D81824">
        <w:rPr>
          <w:rFonts w:ascii="Arial" w:hAnsi="Arial" w:cs="Arial"/>
        </w:rPr>
        <w:t>some of which sadly continue to occur</w:t>
      </w:r>
      <w:r w:rsidR="00943042" w:rsidRPr="003D4E19">
        <w:rPr>
          <w:rFonts w:ascii="Arial" w:hAnsi="Arial" w:cs="Arial"/>
        </w:rPr>
        <w:t xml:space="preserve">. Military personnel must continue to be able to bring these claims to continue to hold the MoD to account. </w:t>
      </w:r>
    </w:p>
    <w:p w14:paraId="1FCEF575" w14:textId="7A83C3B6" w:rsidR="00A67710" w:rsidRDefault="001F7800" w:rsidP="001F7800">
      <w:pPr>
        <w:jc w:val="both"/>
        <w:rPr>
          <w:rFonts w:ascii="Arial" w:hAnsi="Arial" w:cs="Arial"/>
        </w:rPr>
      </w:pPr>
      <w:r>
        <w:rPr>
          <w:rFonts w:ascii="Arial" w:hAnsi="Arial" w:cs="Arial"/>
          <w:noProof/>
        </w:rPr>
        <mc:AlternateContent>
          <mc:Choice Requires="wps">
            <w:drawing>
              <wp:inline distT="0" distB="0" distL="0" distR="0" wp14:anchorId="5AC825DF" wp14:editId="0D94FE35">
                <wp:extent cx="5715000" cy="3093720"/>
                <wp:effectExtent l="0" t="0" r="19050" b="11430"/>
                <wp:docPr id="6" name="Text Box 6"/>
                <wp:cNvGraphicFramePr/>
                <a:graphic xmlns:a="http://schemas.openxmlformats.org/drawingml/2006/main">
                  <a:graphicData uri="http://schemas.microsoft.com/office/word/2010/wordprocessingShape">
                    <wps:wsp>
                      <wps:cNvSpPr txBox="1"/>
                      <wps:spPr>
                        <a:xfrm>
                          <a:off x="0" y="0"/>
                          <a:ext cx="5715000" cy="3093720"/>
                        </a:xfrm>
                        <a:prstGeom prst="rect">
                          <a:avLst/>
                        </a:prstGeom>
                        <a:solidFill>
                          <a:schemeClr val="lt1"/>
                        </a:solidFill>
                        <a:ln w="6350">
                          <a:solidFill>
                            <a:prstClr val="black"/>
                          </a:solidFill>
                        </a:ln>
                      </wps:spPr>
                      <wps:txbx>
                        <w:txbxContent>
                          <w:p w14:paraId="113106ED" w14:textId="77777777" w:rsidR="001F7800" w:rsidRDefault="001F7800" w:rsidP="001F7800">
                            <w:pPr>
                              <w:jc w:val="both"/>
                              <w:rPr>
                                <w:rFonts w:ascii="Arial" w:hAnsi="Arial" w:cs="Arial"/>
                              </w:rPr>
                            </w:pPr>
                            <w:r>
                              <w:rPr>
                                <w:rFonts w:ascii="Arial" w:hAnsi="Arial" w:cs="Arial"/>
                              </w:rPr>
                              <w:t>Our member acted for Fusilier Griffiths’ family and loved ones, including bringing a claim under the HRA. Whilst it was impossible to undo the loss of life in this case, it was settled for a significant sum that at least provided a financial pillow for the family, which relied heavily on Fusilier Griffith’s income and career.</w:t>
                            </w:r>
                          </w:p>
                          <w:p w14:paraId="20E35BC3" w14:textId="77777777" w:rsidR="001F7800" w:rsidRDefault="001F7800" w:rsidP="001F7800">
                            <w:pPr>
                              <w:jc w:val="both"/>
                              <w:rPr>
                                <w:rFonts w:ascii="Arial" w:hAnsi="Arial" w:cs="Arial"/>
                              </w:rPr>
                            </w:pPr>
                            <w:r w:rsidRPr="00465F5A">
                              <w:rPr>
                                <w:rFonts w:ascii="Arial" w:hAnsi="Arial" w:cs="Arial"/>
                              </w:rPr>
                              <w:t>In fact</w:t>
                            </w:r>
                            <w:r>
                              <w:rPr>
                                <w:rFonts w:ascii="Arial" w:hAnsi="Arial" w:cs="Arial"/>
                              </w:rPr>
                              <w:t>,</w:t>
                            </w:r>
                            <w:r w:rsidRPr="00465F5A">
                              <w:rPr>
                                <w:rFonts w:ascii="Arial" w:hAnsi="Arial" w:cs="Arial"/>
                              </w:rPr>
                              <w:t xml:space="preserve"> the MoD is a repeat offender and </w:t>
                            </w:r>
                            <w:r>
                              <w:rPr>
                                <w:rFonts w:ascii="Arial" w:hAnsi="Arial" w:cs="Arial"/>
                              </w:rPr>
                              <w:t>its failings are not limited in the sense of its duty to Service personnel, but also to civilian employees.</w:t>
                            </w:r>
                          </w:p>
                          <w:p w14:paraId="4D43FB04" w14:textId="77777777" w:rsidR="001F7800" w:rsidRDefault="001F7800" w:rsidP="001F7800">
                            <w:pPr>
                              <w:jc w:val="both"/>
                              <w:rPr>
                                <w:rFonts w:ascii="Arial" w:hAnsi="Arial" w:cs="Arial"/>
                              </w:rPr>
                            </w:pPr>
                            <w:r>
                              <w:rPr>
                                <w:rFonts w:ascii="Arial" w:hAnsi="Arial" w:cs="Arial"/>
                              </w:rPr>
                              <w:t>In November 2013 Mr Graham Wood, an agency driver working for the MoD, was crushed between a reversing lorry and a stationary vehicle after delivering munitions to an Army base. He suffered fatal injuries. Our member brought a civil claim for his dependant mother, an elderly woman who relied on him for care, and an associated Human Rights Act claim for the breach of Mr Wood’s article 2 rights.</w:t>
                            </w:r>
                          </w:p>
                          <w:p w14:paraId="4401A49D" w14:textId="77777777" w:rsidR="001F7800" w:rsidRDefault="001F7800" w:rsidP="001F7800">
                            <w:pPr>
                              <w:jc w:val="both"/>
                              <w:rPr>
                                <w:rFonts w:ascii="Arial" w:hAnsi="Arial" w:cs="Arial"/>
                              </w:rPr>
                            </w:pPr>
                            <w:r>
                              <w:rPr>
                                <w:rFonts w:ascii="Arial" w:hAnsi="Arial" w:cs="Arial"/>
                              </w:rPr>
                              <w:t xml:space="preserve">The HSE issued the MoD with a Crown Censure in relation to a number of breaches of statutory duty. They were assessed as having failing to assess risks to life and to ensure a safe system of work. The case was settled for a significant sum to include a contribution towards the care that Mr Woods would have provided to his elderly mother. </w:t>
                            </w:r>
                          </w:p>
                          <w:p w14:paraId="01251FDE" w14:textId="77777777" w:rsidR="001F7800" w:rsidRDefault="001F7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C825DF" id="Text Box 6" o:spid="_x0000_s1030" type="#_x0000_t202" style="width:450pt;height:2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" fillcolor="white [3201]" strokeweight=".5pt">
                <v:textbox>
                  <w:txbxContent>
                    <w:p w14:paraId="113106ED" w14:textId="77777777" w:rsidR="001F7800" w:rsidRDefault="001F7800" w:rsidP="001F7800">
                      <w:pPr>
                        <w:jc w:val="both"/>
                        <w:rPr>
                          <w:rFonts w:ascii="Arial" w:hAnsi="Arial" w:cs="Arial"/>
                        </w:rPr>
                      </w:pPr>
                      <w:r>
                        <w:rPr>
                          <w:rFonts w:ascii="Arial" w:hAnsi="Arial" w:cs="Arial"/>
                        </w:rPr>
                        <w:t>Our member acted for Fusilier Griffiths’ family and loved ones, including bringing a claim under the HRA. Whilst it was impossible to undo the loss of life in this case, it was settled for a significant sum that at least provided a financial pillow for the family, which relied heavily on Fusilier Griffith’s income and career.</w:t>
                      </w:r>
                    </w:p>
                    <w:p w14:paraId="20E35BC3" w14:textId="77777777" w:rsidR="001F7800" w:rsidRDefault="001F7800" w:rsidP="001F7800">
                      <w:pPr>
                        <w:jc w:val="both"/>
                        <w:rPr>
                          <w:rFonts w:ascii="Arial" w:hAnsi="Arial" w:cs="Arial"/>
                        </w:rPr>
                      </w:pPr>
                      <w:r w:rsidRPr="00465F5A">
                        <w:rPr>
                          <w:rFonts w:ascii="Arial" w:hAnsi="Arial" w:cs="Arial"/>
                        </w:rPr>
                        <w:t>In fact</w:t>
                      </w:r>
                      <w:r>
                        <w:rPr>
                          <w:rFonts w:ascii="Arial" w:hAnsi="Arial" w:cs="Arial"/>
                        </w:rPr>
                        <w:t>,</w:t>
                      </w:r>
                      <w:r w:rsidRPr="00465F5A">
                        <w:rPr>
                          <w:rFonts w:ascii="Arial" w:hAnsi="Arial" w:cs="Arial"/>
                        </w:rPr>
                        <w:t xml:space="preserve"> the MoD is a repeat offender and </w:t>
                      </w:r>
                      <w:r>
                        <w:rPr>
                          <w:rFonts w:ascii="Arial" w:hAnsi="Arial" w:cs="Arial"/>
                        </w:rPr>
                        <w:t>its failings are not limited in the sense of its duty to Service personnel, but also to civilian employees.</w:t>
                      </w:r>
                    </w:p>
                    <w:p w14:paraId="4D43FB04" w14:textId="77777777" w:rsidR="001F7800" w:rsidRDefault="001F7800" w:rsidP="001F7800">
                      <w:pPr>
                        <w:jc w:val="both"/>
                        <w:rPr>
                          <w:rFonts w:ascii="Arial" w:hAnsi="Arial" w:cs="Arial"/>
                        </w:rPr>
                      </w:pPr>
                      <w:r>
                        <w:rPr>
                          <w:rFonts w:ascii="Arial" w:hAnsi="Arial" w:cs="Arial"/>
                        </w:rPr>
                        <w:t>In November 2013 Mr Graham Wood, an agency driver working for the MoD, was crushed between a reversing lorry and a stationary vehicle after delivering munitions to an Army base. He suffered fatal injuries. Our member brought a civil claim for his dependant mother, an elderly woman who relied on him for care, and an associated Human Rights Act claim for the breach of Mr Wood’s article 2 rights.</w:t>
                      </w:r>
                    </w:p>
                    <w:p w14:paraId="4401A49D" w14:textId="77777777" w:rsidR="001F7800" w:rsidRDefault="001F7800" w:rsidP="001F7800">
                      <w:pPr>
                        <w:jc w:val="both"/>
                        <w:rPr>
                          <w:rFonts w:ascii="Arial" w:hAnsi="Arial" w:cs="Arial"/>
                        </w:rPr>
                      </w:pPr>
                      <w:r>
                        <w:rPr>
                          <w:rFonts w:ascii="Arial" w:hAnsi="Arial" w:cs="Arial"/>
                        </w:rPr>
                        <w:t xml:space="preserve">The HSE issued the MoD with a Crown Censure in relation to a number of breaches of statutory duty. They were assessed as having failing to assess risks to life and to ensure a safe system of work. The case was settled for a significant sum to include a contribution towards the care that Mr Woods would have provided to his elderly mother. </w:t>
                      </w:r>
                    </w:p>
                    <w:p w14:paraId="01251FDE" w14:textId="77777777" w:rsidR="001F7800" w:rsidRDefault="001F7800"/>
                  </w:txbxContent>
                </v:textbox>
                <w10:anchorlock/>
              </v:shape>
            </w:pict>
          </mc:Fallback>
        </mc:AlternateContent>
      </w:r>
      <w:r w:rsidR="0068586C">
        <w:rPr>
          <w:rFonts w:ascii="Arial" w:hAnsi="Arial" w:cs="Arial"/>
        </w:rPr>
        <w:t xml:space="preserve"> </w:t>
      </w:r>
    </w:p>
    <w:p w14:paraId="61AB4080" w14:textId="60803848" w:rsidR="0068586C" w:rsidRDefault="00A63B6E" w:rsidP="003D4E19">
      <w:pPr>
        <w:jc w:val="both"/>
        <w:rPr>
          <w:rFonts w:ascii="Arial" w:hAnsi="Arial" w:cs="Arial"/>
        </w:rPr>
      </w:pPr>
      <w:r>
        <w:rPr>
          <w:rFonts w:ascii="Arial" w:hAnsi="Arial" w:cs="Arial"/>
        </w:rPr>
        <w:t xml:space="preserve">Both </w:t>
      </w:r>
      <w:r w:rsidR="00D81824">
        <w:rPr>
          <w:rFonts w:ascii="Arial" w:hAnsi="Arial" w:cs="Arial"/>
        </w:rPr>
        <w:t>of the</w:t>
      </w:r>
      <w:r w:rsidR="001F7800">
        <w:rPr>
          <w:rFonts w:ascii="Arial" w:hAnsi="Arial" w:cs="Arial"/>
        </w:rPr>
        <w:t xml:space="preserve"> above</w:t>
      </w:r>
      <w:r>
        <w:rPr>
          <w:rFonts w:ascii="Arial" w:hAnsi="Arial" w:cs="Arial"/>
        </w:rPr>
        <w:t xml:space="preserve"> case</w:t>
      </w:r>
      <w:r w:rsidR="005C4086">
        <w:rPr>
          <w:rFonts w:ascii="Arial" w:hAnsi="Arial" w:cs="Arial"/>
        </w:rPr>
        <w:t>s</w:t>
      </w:r>
      <w:r>
        <w:rPr>
          <w:rFonts w:ascii="Arial" w:hAnsi="Arial" w:cs="Arial"/>
        </w:rPr>
        <w:t xml:space="preserve"> involved Human Rights Act claims</w:t>
      </w:r>
      <w:r w:rsidR="0068586C">
        <w:rPr>
          <w:rFonts w:ascii="Arial" w:hAnsi="Arial" w:cs="Arial"/>
        </w:rPr>
        <w:t xml:space="preserve">, </w:t>
      </w:r>
      <w:r w:rsidR="001F7800">
        <w:rPr>
          <w:rFonts w:ascii="Arial" w:hAnsi="Arial" w:cs="Arial"/>
        </w:rPr>
        <w:t xml:space="preserve">and an engagement of Article 2, </w:t>
      </w:r>
      <w:r w:rsidR="0068586C">
        <w:rPr>
          <w:rFonts w:ascii="Arial" w:hAnsi="Arial" w:cs="Arial"/>
        </w:rPr>
        <w:t xml:space="preserve">which enabled a wider scope of inquiry at </w:t>
      </w:r>
      <w:r w:rsidR="001F7800">
        <w:rPr>
          <w:rFonts w:ascii="Arial" w:hAnsi="Arial" w:cs="Arial"/>
        </w:rPr>
        <w:t>i</w:t>
      </w:r>
      <w:r w:rsidR="0068586C">
        <w:rPr>
          <w:rFonts w:ascii="Arial" w:hAnsi="Arial" w:cs="Arial"/>
        </w:rPr>
        <w:t xml:space="preserve">nquest stage. They </w:t>
      </w:r>
      <w:r w:rsidR="00552B4A">
        <w:rPr>
          <w:rFonts w:ascii="Arial" w:hAnsi="Arial" w:cs="Arial"/>
        </w:rPr>
        <w:t xml:space="preserve">also </w:t>
      </w:r>
      <w:r w:rsidR="0068586C">
        <w:rPr>
          <w:rFonts w:ascii="Arial" w:hAnsi="Arial" w:cs="Arial"/>
        </w:rPr>
        <w:t xml:space="preserve">both </w:t>
      </w:r>
      <w:r>
        <w:rPr>
          <w:rFonts w:ascii="Arial" w:hAnsi="Arial" w:cs="Arial"/>
        </w:rPr>
        <w:t xml:space="preserve">resulted in Crown </w:t>
      </w:r>
      <w:r w:rsidR="00552B4A">
        <w:rPr>
          <w:rFonts w:ascii="Arial" w:hAnsi="Arial" w:cs="Arial"/>
        </w:rPr>
        <w:lastRenderedPageBreak/>
        <w:t>c</w:t>
      </w:r>
      <w:r>
        <w:rPr>
          <w:rFonts w:ascii="Arial" w:hAnsi="Arial" w:cs="Arial"/>
        </w:rPr>
        <w:t xml:space="preserve">ensures against the MoD. </w:t>
      </w:r>
      <w:r w:rsidR="00DA3ACC">
        <w:rPr>
          <w:rFonts w:ascii="Arial" w:hAnsi="Arial" w:cs="Arial"/>
        </w:rPr>
        <w:t xml:space="preserve">A Crown </w:t>
      </w:r>
      <w:r w:rsidR="00552B4A">
        <w:rPr>
          <w:rFonts w:ascii="Arial" w:hAnsi="Arial" w:cs="Arial"/>
        </w:rPr>
        <w:t>c</w:t>
      </w:r>
      <w:r w:rsidR="00DA3ACC">
        <w:rPr>
          <w:rFonts w:ascii="Arial" w:hAnsi="Arial" w:cs="Arial"/>
        </w:rPr>
        <w:t xml:space="preserve">ensure is the most serious sanction that can be levied by the Health and Safety Executive against a government body. </w:t>
      </w:r>
      <w:r w:rsidR="00552B4A">
        <w:rPr>
          <w:rFonts w:ascii="Arial" w:hAnsi="Arial" w:cs="Arial"/>
          <w:color w:val="111111"/>
        </w:rPr>
        <w:t xml:space="preserve">It is an administrative procedure, whereby the HSE may summon a Crown employer to be censured for a breach of the Health and Safety at Work Act or a subordinate regulation which, but for Crown Immunity, would have led to prosecution with a realistic prospect of conviction. </w:t>
      </w:r>
      <w:r w:rsidR="00DA3ACC">
        <w:rPr>
          <w:rFonts w:ascii="Arial" w:hAnsi="Arial" w:cs="Arial"/>
        </w:rPr>
        <w:t xml:space="preserve">42 Crown Censures have been </w:t>
      </w:r>
      <w:r w:rsidR="00552B4A">
        <w:rPr>
          <w:rFonts w:ascii="Arial" w:hAnsi="Arial" w:cs="Arial"/>
        </w:rPr>
        <w:t xml:space="preserve">taken by the HSE since 1999, and the MoD has amassed </w:t>
      </w:r>
      <w:r w:rsidR="0068586C">
        <w:rPr>
          <w:rFonts w:ascii="Arial" w:hAnsi="Arial" w:cs="Arial"/>
        </w:rPr>
        <w:t>2</w:t>
      </w:r>
      <w:r w:rsidR="00DA3ACC">
        <w:rPr>
          <w:rFonts w:ascii="Arial" w:hAnsi="Arial" w:cs="Arial"/>
        </w:rPr>
        <w:t>1</w:t>
      </w:r>
      <w:r w:rsidR="0068586C">
        <w:rPr>
          <w:rFonts w:ascii="Arial" w:hAnsi="Arial" w:cs="Arial"/>
        </w:rPr>
        <w:t xml:space="preserve"> </w:t>
      </w:r>
      <w:r w:rsidR="00552B4A">
        <w:rPr>
          <w:rFonts w:ascii="Arial" w:hAnsi="Arial" w:cs="Arial"/>
        </w:rPr>
        <w:t>of those, more than any other government body</w:t>
      </w:r>
      <w:r w:rsidR="00DA3ACC">
        <w:rPr>
          <w:rStyle w:val="FootnoteReference"/>
          <w:rFonts w:ascii="Arial" w:hAnsi="Arial" w:cs="Arial"/>
        </w:rPr>
        <w:footnoteReference w:id="1"/>
      </w:r>
      <w:r w:rsidR="0068586C">
        <w:rPr>
          <w:rFonts w:ascii="Arial" w:hAnsi="Arial" w:cs="Arial"/>
        </w:rPr>
        <w:t xml:space="preserve">. </w:t>
      </w:r>
      <w:r w:rsidR="006F33E4">
        <w:rPr>
          <w:rFonts w:ascii="Arial" w:hAnsi="Arial" w:cs="Arial"/>
        </w:rPr>
        <w:t xml:space="preserve">Despite the implications of </w:t>
      </w:r>
      <w:r w:rsidR="001F7800">
        <w:rPr>
          <w:rFonts w:ascii="Arial" w:hAnsi="Arial" w:cs="Arial"/>
        </w:rPr>
        <w:t>the failings</w:t>
      </w:r>
      <w:r w:rsidR="007F5A04">
        <w:rPr>
          <w:rFonts w:ascii="Arial" w:hAnsi="Arial" w:cs="Arial"/>
        </w:rPr>
        <w:t xml:space="preserve"> </w:t>
      </w:r>
      <w:r w:rsidR="00DA3ACC">
        <w:rPr>
          <w:rFonts w:ascii="Arial" w:hAnsi="Arial" w:cs="Arial"/>
        </w:rPr>
        <w:t xml:space="preserve">which led to the Crown </w:t>
      </w:r>
      <w:r w:rsidR="00552B4A">
        <w:rPr>
          <w:rFonts w:ascii="Arial" w:hAnsi="Arial" w:cs="Arial"/>
        </w:rPr>
        <w:t>c</w:t>
      </w:r>
      <w:r w:rsidR="00DA3ACC">
        <w:rPr>
          <w:rFonts w:ascii="Arial" w:hAnsi="Arial" w:cs="Arial"/>
        </w:rPr>
        <w:t>ensures</w:t>
      </w:r>
      <w:r w:rsidR="001E1F8E">
        <w:rPr>
          <w:rFonts w:ascii="Arial" w:hAnsi="Arial" w:cs="Arial"/>
        </w:rPr>
        <w:t>, there</w:t>
      </w:r>
      <w:r w:rsidR="006F33E4">
        <w:rPr>
          <w:rFonts w:ascii="Arial" w:hAnsi="Arial" w:cs="Arial"/>
        </w:rPr>
        <w:t xml:space="preserve"> is no associated fine or </w:t>
      </w:r>
      <w:r w:rsidR="001E1F8E">
        <w:rPr>
          <w:rFonts w:ascii="Arial" w:hAnsi="Arial" w:cs="Arial"/>
        </w:rPr>
        <w:t>prosecution</w:t>
      </w:r>
      <w:r w:rsidR="005C4086">
        <w:rPr>
          <w:rFonts w:ascii="Arial" w:hAnsi="Arial" w:cs="Arial"/>
        </w:rPr>
        <w:t xml:space="preserve"> </w:t>
      </w:r>
      <w:proofErr w:type="gramStart"/>
      <w:r w:rsidR="005C4086">
        <w:rPr>
          <w:rFonts w:ascii="Arial" w:hAnsi="Arial" w:cs="Arial"/>
        </w:rPr>
        <w:t>i.e.</w:t>
      </w:r>
      <w:proofErr w:type="gramEnd"/>
      <w:r w:rsidR="005C4086">
        <w:rPr>
          <w:rFonts w:ascii="Arial" w:hAnsi="Arial" w:cs="Arial"/>
        </w:rPr>
        <w:t xml:space="preserve"> if the MoD were a private organisation then these </w:t>
      </w:r>
      <w:r w:rsidR="00552B4A">
        <w:rPr>
          <w:rFonts w:ascii="Arial" w:hAnsi="Arial" w:cs="Arial"/>
        </w:rPr>
        <w:t>c</w:t>
      </w:r>
      <w:r w:rsidR="005C4086">
        <w:rPr>
          <w:rFonts w:ascii="Arial" w:hAnsi="Arial" w:cs="Arial"/>
        </w:rPr>
        <w:t xml:space="preserve">ensures would almost certainly have resulted in fines, prosecutions and/or, in the case of a </w:t>
      </w:r>
      <w:r w:rsidR="00552B4A">
        <w:rPr>
          <w:rFonts w:ascii="Arial" w:hAnsi="Arial" w:cs="Arial"/>
        </w:rPr>
        <w:t>p</w:t>
      </w:r>
      <w:r w:rsidR="0068586C">
        <w:rPr>
          <w:rFonts w:ascii="Arial" w:hAnsi="Arial" w:cs="Arial"/>
        </w:rPr>
        <w:t xml:space="preserve">ublic or </w:t>
      </w:r>
      <w:r w:rsidR="00552B4A">
        <w:rPr>
          <w:rFonts w:ascii="Arial" w:hAnsi="Arial" w:cs="Arial"/>
        </w:rPr>
        <w:t>p</w:t>
      </w:r>
      <w:r w:rsidR="0068586C">
        <w:rPr>
          <w:rFonts w:ascii="Arial" w:hAnsi="Arial" w:cs="Arial"/>
        </w:rPr>
        <w:t xml:space="preserve">rivate </w:t>
      </w:r>
      <w:r w:rsidR="00552B4A">
        <w:rPr>
          <w:rFonts w:ascii="Arial" w:hAnsi="Arial" w:cs="Arial"/>
        </w:rPr>
        <w:t>li</w:t>
      </w:r>
      <w:r w:rsidR="0068586C">
        <w:rPr>
          <w:rFonts w:ascii="Arial" w:hAnsi="Arial" w:cs="Arial"/>
        </w:rPr>
        <w:t xml:space="preserve">mited </w:t>
      </w:r>
      <w:r w:rsidR="00552B4A">
        <w:rPr>
          <w:rFonts w:ascii="Arial" w:hAnsi="Arial" w:cs="Arial"/>
        </w:rPr>
        <w:t>c</w:t>
      </w:r>
      <w:r w:rsidR="005C4086">
        <w:rPr>
          <w:rFonts w:ascii="Arial" w:hAnsi="Arial" w:cs="Arial"/>
        </w:rPr>
        <w:t xml:space="preserve">ompany, it </w:t>
      </w:r>
      <w:r w:rsidR="0068586C">
        <w:rPr>
          <w:rFonts w:ascii="Arial" w:hAnsi="Arial" w:cs="Arial"/>
        </w:rPr>
        <w:t>would have failed or been</w:t>
      </w:r>
      <w:r w:rsidR="005C4086">
        <w:rPr>
          <w:rFonts w:ascii="Arial" w:hAnsi="Arial" w:cs="Arial"/>
        </w:rPr>
        <w:t xml:space="preserve"> wound-up. </w:t>
      </w:r>
      <w:r w:rsidR="0068586C">
        <w:rPr>
          <w:rFonts w:ascii="Arial" w:hAnsi="Arial" w:cs="Arial"/>
        </w:rPr>
        <w:t>Importantly, t</w:t>
      </w:r>
      <w:r w:rsidR="001E1F8E">
        <w:rPr>
          <w:rFonts w:ascii="Arial" w:hAnsi="Arial" w:cs="Arial"/>
        </w:rPr>
        <w:t xml:space="preserve">he Human Rights Act </w:t>
      </w:r>
      <w:r w:rsidR="0068586C">
        <w:rPr>
          <w:rFonts w:ascii="Arial" w:hAnsi="Arial" w:cs="Arial"/>
        </w:rPr>
        <w:t xml:space="preserve">played an essential part in uncovering truths in these cases. Without a Human Rights Act claim and/or the possibility of associated civil claims, it would have been highly unlikely that the families of the deceased would have been able to find specialist solicitors to represent them in the </w:t>
      </w:r>
      <w:r w:rsidR="001F7800">
        <w:rPr>
          <w:rFonts w:ascii="Arial" w:hAnsi="Arial" w:cs="Arial"/>
        </w:rPr>
        <w:t>i</w:t>
      </w:r>
      <w:r w:rsidR="0068586C">
        <w:rPr>
          <w:rFonts w:ascii="Arial" w:hAnsi="Arial" w:cs="Arial"/>
        </w:rPr>
        <w:t>nquest process. T</w:t>
      </w:r>
      <w:r w:rsidR="005C4086">
        <w:rPr>
          <w:rFonts w:ascii="Arial" w:hAnsi="Arial" w:cs="Arial"/>
        </w:rPr>
        <w:t>herefore</w:t>
      </w:r>
      <w:r w:rsidR="0068586C">
        <w:rPr>
          <w:rFonts w:ascii="Arial" w:hAnsi="Arial" w:cs="Arial"/>
        </w:rPr>
        <w:t>, the Human Rights Act</w:t>
      </w:r>
      <w:r w:rsidR="005C4086">
        <w:rPr>
          <w:rFonts w:ascii="Arial" w:hAnsi="Arial" w:cs="Arial"/>
        </w:rPr>
        <w:t xml:space="preserve"> </w:t>
      </w:r>
      <w:r w:rsidR="001E1F8E">
        <w:rPr>
          <w:rFonts w:ascii="Arial" w:hAnsi="Arial" w:cs="Arial"/>
        </w:rPr>
        <w:t xml:space="preserve">remains an essential avenue to justice </w:t>
      </w:r>
      <w:r w:rsidR="005C4086">
        <w:rPr>
          <w:rFonts w:ascii="Arial" w:hAnsi="Arial" w:cs="Arial"/>
        </w:rPr>
        <w:t xml:space="preserve">for the families of those killed </w:t>
      </w:r>
      <w:r w:rsidR="0068586C">
        <w:rPr>
          <w:rFonts w:ascii="Arial" w:hAnsi="Arial" w:cs="Arial"/>
        </w:rPr>
        <w:t>in unsafe working environments.</w:t>
      </w:r>
    </w:p>
    <w:p w14:paraId="167F2DD0" w14:textId="77777777" w:rsidR="00BB4729" w:rsidRPr="003D4E19" w:rsidRDefault="00BB4729" w:rsidP="003D4E19">
      <w:pPr>
        <w:jc w:val="both"/>
        <w:rPr>
          <w:rFonts w:ascii="Arial" w:hAnsi="Arial" w:cs="Arial"/>
          <w:i/>
          <w:iCs/>
        </w:rPr>
      </w:pPr>
      <w:r w:rsidRPr="003D4E19">
        <w:rPr>
          <w:rFonts w:ascii="Arial" w:hAnsi="Arial" w:cs="Arial"/>
          <w:i/>
          <w:iCs/>
        </w:rPr>
        <w:t>Comments on the proposals</w:t>
      </w:r>
    </w:p>
    <w:p w14:paraId="280D3E09" w14:textId="77777777" w:rsidR="00D62F2D" w:rsidRPr="003D4E19" w:rsidRDefault="00590DDE" w:rsidP="003D4E19">
      <w:pPr>
        <w:jc w:val="both"/>
        <w:rPr>
          <w:rFonts w:ascii="Arial" w:hAnsi="Arial" w:cs="Arial"/>
          <w:i/>
          <w:iCs/>
        </w:rPr>
      </w:pPr>
      <w:r w:rsidRPr="003D4E19">
        <w:rPr>
          <w:rFonts w:ascii="Arial" w:hAnsi="Arial" w:cs="Arial"/>
          <w:i/>
          <w:iCs/>
        </w:rPr>
        <w:t>Justification based on the “p</w:t>
      </w:r>
      <w:r w:rsidR="00D62F2D" w:rsidRPr="003D4E19">
        <w:rPr>
          <w:rFonts w:ascii="Arial" w:hAnsi="Arial" w:cs="Arial"/>
          <w:i/>
          <w:iCs/>
        </w:rPr>
        <w:t>rotection of armed forces personne</w:t>
      </w:r>
      <w:r w:rsidRPr="003D4E19">
        <w:rPr>
          <w:rFonts w:ascii="Arial" w:hAnsi="Arial" w:cs="Arial"/>
          <w:i/>
          <w:iCs/>
        </w:rPr>
        <w:t>l”</w:t>
      </w:r>
    </w:p>
    <w:p w14:paraId="1F11B5F7" w14:textId="156EA993" w:rsidR="003B0FA3" w:rsidRPr="003D4E19" w:rsidRDefault="00A87FC5" w:rsidP="003D4E19">
      <w:pPr>
        <w:tabs>
          <w:tab w:val="left" w:pos="0"/>
        </w:tabs>
        <w:spacing w:line="276" w:lineRule="auto"/>
        <w:ind w:right="339"/>
        <w:rPr>
          <w:rFonts w:ascii="Arial" w:hAnsi="Arial" w:cs="Arial"/>
        </w:rPr>
      </w:pPr>
      <w:r w:rsidRPr="003D4E19">
        <w:rPr>
          <w:rFonts w:ascii="Arial" w:hAnsi="Arial" w:cs="Arial"/>
        </w:rPr>
        <w:t xml:space="preserve">There are comments throughout the consultation </w:t>
      </w:r>
      <w:r w:rsidR="00632163" w:rsidRPr="003D4E19">
        <w:rPr>
          <w:rFonts w:ascii="Arial" w:hAnsi="Arial" w:cs="Arial"/>
        </w:rPr>
        <w:t xml:space="preserve">suggesting that the proposals </w:t>
      </w:r>
      <w:r w:rsidRPr="003D4E19">
        <w:rPr>
          <w:rFonts w:ascii="Arial" w:hAnsi="Arial" w:cs="Arial"/>
        </w:rPr>
        <w:t>will be to th</w:t>
      </w:r>
      <w:r w:rsidR="00D62F2D" w:rsidRPr="003D4E19">
        <w:rPr>
          <w:rFonts w:ascii="Arial" w:hAnsi="Arial" w:cs="Arial"/>
        </w:rPr>
        <w:t>e</w:t>
      </w:r>
      <w:r w:rsidR="00632163" w:rsidRPr="003D4E19">
        <w:rPr>
          <w:rFonts w:ascii="Arial" w:hAnsi="Arial" w:cs="Arial"/>
        </w:rPr>
        <w:t xml:space="preserve"> </w:t>
      </w:r>
      <w:r w:rsidRPr="003D4E19">
        <w:rPr>
          <w:rFonts w:ascii="Arial" w:hAnsi="Arial" w:cs="Arial"/>
        </w:rPr>
        <w:t xml:space="preserve">benefit of armed forces personnel because </w:t>
      </w:r>
      <w:r w:rsidR="00590DDE" w:rsidRPr="003D4E19">
        <w:rPr>
          <w:rFonts w:ascii="Arial" w:hAnsi="Arial" w:cs="Arial"/>
        </w:rPr>
        <w:t xml:space="preserve">there </w:t>
      </w:r>
      <w:r w:rsidRPr="003D4E19">
        <w:rPr>
          <w:rFonts w:ascii="Arial" w:hAnsi="Arial" w:cs="Arial"/>
        </w:rPr>
        <w:t xml:space="preserve">will </w:t>
      </w:r>
      <w:r w:rsidR="00590DDE" w:rsidRPr="003D4E19">
        <w:rPr>
          <w:rFonts w:ascii="Arial" w:hAnsi="Arial" w:cs="Arial"/>
        </w:rPr>
        <w:t>no longer be</w:t>
      </w:r>
      <w:r w:rsidRPr="003D4E19">
        <w:rPr>
          <w:rFonts w:ascii="Arial" w:hAnsi="Arial" w:cs="Arial"/>
        </w:rPr>
        <w:t xml:space="preserve"> uncertainty in relation to the law of armed conflict. </w:t>
      </w:r>
      <w:r w:rsidR="00632163" w:rsidRPr="003D4E19">
        <w:rPr>
          <w:rFonts w:ascii="Arial" w:hAnsi="Arial" w:cs="Arial"/>
        </w:rPr>
        <w:t>For example,</w:t>
      </w:r>
      <w:r w:rsidR="003B0FA3" w:rsidRPr="003D4E19">
        <w:rPr>
          <w:rFonts w:ascii="Arial" w:hAnsi="Arial" w:cs="Arial"/>
        </w:rPr>
        <w:t xml:space="preserve"> paragraph 10 </w:t>
      </w:r>
      <w:r w:rsidR="00590DDE" w:rsidRPr="003D4E19">
        <w:rPr>
          <w:rFonts w:ascii="Arial" w:hAnsi="Arial" w:cs="Arial"/>
        </w:rPr>
        <w:t xml:space="preserve">of the consultation </w:t>
      </w:r>
      <w:r w:rsidR="00632163" w:rsidRPr="003D4E19">
        <w:rPr>
          <w:rFonts w:ascii="Arial" w:hAnsi="Arial" w:cs="Arial"/>
        </w:rPr>
        <w:t>states “</w:t>
      </w:r>
      <w:r w:rsidR="00632163" w:rsidRPr="003D4E19">
        <w:rPr>
          <w:rFonts w:ascii="Arial" w:eastAsia="Arial" w:hAnsi="Arial" w:cs="Arial"/>
          <w:spacing w:val="1"/>
        </w:rPr>
        <w:t>w</w:t>
      </w:r>
      <w:r w:rsidRPr="003D4E19">
        <w:rPr>
          <w:rFonts w:ascii="Arial" w:eastAsia="Arial" w:hAnsi="Arial" w:cs="Arial"/>
        </w:rPr>
        <w:t>e</w:t>
      </w:r>
      <w:r w:rsidRPr="003D4E19">
        <w:rPr>
          <w:rFonts w:ascii="Arial" w:eastAsia="Arial" w:hAnsi="Arial" w:cs="Arial"/>
          <w:spacing w:val="2"/>
        </w:rPr>
        <w:t xml:space="preserve"> </w:t>
      </w:r>
      <w:r w:rsidRPr="003D4E19">
        <w:rPr>
          <w:rFonts w:ascii="Arial" w:eastAsia="Arial" w:hAnsi="Arial" w:cs="Arial"/>
          <w:spacing w:val="-1"/>
        </w:rPr>
        <w:t>wa</w:t>
      </w:r>
      <w:r w:rsidRPr="003D4E19">
        <w:rPr>
          <w:rFonts w:ascii="Arial" w:eastAsia="Arial" w:hAnsi="Arial" w:cs="Arial"/>
          <w:spacing w:val="1"/>
        </w:rPr>
        <w:t>n</w:t>
      </w:r>
      <w:r w:rsidRPr="003D4E19">
        <w:rPr>
          <w:rFonts w:ascii="Arial" w:eastAsia="Arial" w:hAnsi="Arial" w:cs="Arial"/>
        </w:rPr>
        <w:t>t</w:t>
      </w:r>
      <w:r w:rsidRPr="003D4E19">
        <w:rPr>
          <w:rFonts w:ascii="Arial" w:eastAsia="Arial" w:hAnsi="Arial" w:cs="Arial"/>
          <w:spacing w:val="1"/>
        </w:rPr>
        <w:t xml:space="preserve"> </w:t>
      </w:r>
      <w:r w:rsidRPr="003D4E19">
        <w:rPr>
          <w:rFonts w:ascii="Arial" w:eastAsia="Arial" w:hAnsi="Arial" w:cs="Arial"/>
          <w:spacing w:val="-2"/>
        </w:rPr>
        <w:t>t</w:t>
      </w:r>
      <w:r w:rsidRPr="003D4E19">
        <w:rPr>
          <w:rFonts w:ascii="Arial" w:eastAsia="Arial" w:hAnsi="Arial" w:cs="Arial"/>
        </w:rPr>
        <w:t>o</w:t>
      </w:r>
      <w:r w:rsidRPr="003D4E19">
        <w:rPr>
          <w:rFonts w:ascii="Arial" w:eastAsia="Arial" w:hAnsi="Arial" w:cs="Arial"/>
          <w:spacing w:val="2"/>
        </w:rPr>
        <w:t xml:space="preserve"> </w:t>
      </w:r>
      <w:r w:rsidRPr="003D4E19">
        <w:rPr>
          <w:rFonts w:ascii="Arial" w:eastAsia="Arial" w:hAnsi="Arial" w:cs="Arial"/>
          <w:spacing w:val="1"/>
        </w:rPr>
        <w:t>p</w:t>
      </w:r>
      <w:r w:rsidRPr="003D4E19">
        <w:rPr>
          <w:rFonts w:ascii="Arial" w:eastAsia="Arial" w:hAnsi="Arial" w:cs="Arial"/>
          <w:spacing w:val="-1"/>
        </w:rPr>
        <w:t>ro</w:t>
      </w:r>
      <w:r w:rsidRPr="003D4E19">
        <w:rPr>
          <w:rFonts w:ascii="Arial" w:eastAsia="Arial" w:hAnsi="Arial" w:cs="Arial"/>
          <w:spacing w:val="1"/>
        </w:rPr>
        <w:t>te</w:t>
      </w:r>
      <w:r w:rsidRPr="003D4E19">
        <w:rPr>
          <w:rFonts w:ascii="Arial" w:eastAsia="Arial" w:hAnsi="Arial" w:cs="Arial"/>
        </w:rPr>
        <w:t>ct</w:t>
      </w:r>
      <w:r w:rsidRPr="003D4E19">
        <w:rPr>
          <w:rFonts w:ascii="Arial" w:eastAsia="Arial" w:hAnsi="Arial" w:cs="Arial"/>
          <w:spacing w:val="-1"/>
        </w:rPr>
        <w:t xml:space="preserve"> </w:t>
      </w:r>
      <w:r w:rsidRPr="003D4E19">
        <w:rPr>
          <w:rFonts w:ascii="Arial" w:eastAsia="Arial" w:hAnsi="Arial" w:cs="Arial"/>
          <w:spacing w:val="1"/>
        </w:rPr>
        <w:t>ou</w:t>
      </w:r>
      <w:r w:rsidRPr="003D4E19">
        <w:rPr>
          <w:rFonts w:ascii="Arial" w:eastAsia="Arial" w:hAnsi="Arial" w:cs="Arial"/>
        </w:rPr>
        <w:t>r</w:t>
      </w:r>
      <w:r w:rsidRPr="003D4E19">
        <w:rPr>
          <w:rFonts w:ascii="Arial" w:eastAsia="Arial" w:hAnsi="Arial" w:cs="Arial"/>
          <w:spacing w:val="-2"/>
        </w:rPr>
        <w:t xml:space="preserve"> </w:t>
      </w:r>
      <w:r w:rsidRPr="003D4E19">
        <w:rPr>
          <w:rFonts w:ascii="Arial" w:eastAsia="Arial" w:hAnsi="Arial" w:cs="Arial"/>
          <w:spacing w:val="1"/>
        </w:rPr>
        <w:t>a</w:t>
      </w:r>
      <w:r w:rsidRPr="003D4E19">
        <w:rPr>
          <w:rFonts w:ascii="Arial" w:eastAsia="Arial" w:hAnsi="Arial" w:cs="Arial"/>
          <w:spacing w:val="-1"/>
        </w:rPr>
        <w:t>r</w:t>
      </w:r>
      <w:r w:rsidRPr="003D4E19">
        <w:rPr>
          <w:rFonts w:ascii="Arial" w:eastAsia="Arial" w:hAnsi="Arial" w:cs="Arial"/>
          <w:spacing w:val="2"/>
        </w:rPr>
        <w:t>m</w:t>
      </w:r>
      <w:r w:rsidRPr="003D4E19">
        <w:rPr>
          <w:rFonts w:ascii="Arial" w:eastAsia="Arial" w:hAnsi="Arial" w:cs="Arial"/>
          <w:spacing w:val="-2"/>
        </w:rPr>
        <w:t>e</w:t>
      </w:r>
      <w:r w:rsidRPr="003D4E19">
        <w:rPr>
          <w:rFonts w:ascii="Arial" w:eastAsia="Arial" w:hAnsi="Arial" w:cs="Arial"/>
        </w:rPr>
        <w:t>d</w:t>
      </w:r>
      <w:r w:rsidRPr="003D4E19">
        <w:rPr>
          <w:rFonts w:ascii="Arial" w:eastAsia="Arial" w:hAnsi="Arial" w:cs="Arial"/>
          <w:spacing w:val="2"/>
        </w:rPr>
        <w:t xml:space="preserve"> </w:t>
      </w:r>
      <w:r w:rsidRPr="003D4E19">
        <w:rPr>
          <w:rFonts w:ascii="Arial" w:eastAsia="Arial" w:hAnsi="Arial" w:cs="Arial"/>
          <w:spacing w:val="-2"/>
        </w:rPr>
        <w:t>f</w:t>
      </w:r>
      <w:r w:rsidRPr="003D4E19">
        <w:rPr>
          <w:rFonts w:ascii="Arial" w:eastAsia="Arial" w:hAnsi="Arial" w:cs="Arial"/>
          <w:spacing w:val="1"/>
        </w:rPr>
        <w:t>o</w:t>
      </w:r>
      <w:r w:rsidRPr="003D4E19">
        <w:rPr>
          <w:rFonts w:ascii="Arial" w:eastAsia="Arial" w:hAnsi="Arial" w:cs="Arial"/>
          <w:spacing w:val="-1"/>
        </w:rPr>
        <w:t>r</w:t>
      </w:r>
      <w:r w:rsidRPr="003D4E19">
        <w:rPr>
          <w:rFonts w:ascii="Arial" w:eastAsia="Arial" w:hAnsi="Arial" w:cs="Arial"/>
        </w:rPr>
        <w:t>c</w:t>
      </w:r>
      <w:r w:rsidRPr="003D4E19">
        <w:rPr>
          <w:rFonts w:ascii="Arial" w:eastAsia="Arial" w:hAnsi="Arial" w:cs="Arial"/>
          <w:spacing w:val="1"/>
        </w:rPr>
        <w:t>e</w:t>
      </w:r>
      <w:r w:rsidRPr="003D4E19">
        <w:rPr>
          <w:rFonts w:ascii="Arial" w:eastAsia="Arial" w:hAnsi="Arial" w:cs="Arial"/>
        </w:rPr>
        <w:t>s</w:t>
      </w:r>
      <w:r w:rsidRPr="003D4E19">
        <w:rPr>
          <w:rFonts w:ascii="Arial" w:eastAsia="Arial" w:hAnsi="Arial" w:cs="Arial"/>
          <w:spacing w:val="1"/>
        </w:rPr>
        <w:t xml:space="preserve"> f</w:t>
      </w:r>
      <w:r w:rsidRPr="003D4E19">
        <w:rPr>
          <w:rFonts w:ascii="Arial" w:eastAsia="Arial" w:hAnsi="Arial" w:cs="Arial"/>
          <w:spacing w:val="-1"/>
        </w:rPr>
        <w:t>ro</w:t>
      </w:r>
      <w:r w:rsidRPr="003D4E19">
        <w:rPr>
          <w:rFonts w:ascii="Arial" w:eastAsia="Arial" w:hAnsi="Arial" w:cs="Arial"/>
        </w:rPr>
        <w:t>m</w:t>
      </w:r>
      <w:r w:rsidRPr="003D4E19">
        <w:rPr>
          <w:rFonts w:ascii="Arial" w:eastAsia="Arial" w:hAnsi="Arial" w:cs="Arial"/>
          <w:spacing w:val="2"/>
        </w:rPr>
        <w:t xml:space="preserve"> </w:t>
      </w:r>
      <w:r w:rsidRPr="003D4E19">
        <w:rPr>
          <w:rFonts w:ascii="Arial" w:eastAsia="Arial" w:hAnsi="Arial" w:cs="Arial"/>
          <w:spacing w:val="-1"/>
        </w:rPr>
        <w:t>hu</w:t>
      </w:r>
      <w:r w:rsidRPr="003D4E19">
        <w:rPr>
          <w:rFonts w:ascii="Arial" w:eastAsia="Arial" w:hAnsi="Arial" w:cs="Arial"/>
          <w:spacing w:val="2"/>
        </w:rPr>
        <w:t>m</w:t>
      </w:r>
      <w:r w:rsidRPr="003D4E19">
        <w:rPr>
          <w:rFonts w:ascii="Arial" w:eastAsia="Arial" w:hAnsi="Arial" w:cs="Arial"/>
          <w:spacing w:val="1"/>
        </w:rPr>
        <w:t>a</w:t>
      </w:r>
      <w:r w:rsidRPr="003D4E19">
        <w:rPr>
          <w:rFonts w:ascii="Arial" w:eastAsia="Arial" w:hAnsi="Arial" w:cs="Arial"/>
        </w:rPr>
        <w:t>n</w:t>
      </w:r>
      <w:r w:rsidRPr="003D4E19">
        <w:rPr>
          <w:rFonts w:ascii="Arial" w:eastAsia="Arial" w:hAnsi="Arial" w:cs="Arial"/>
          <w:spacing w:val="-1"/>
        </w:rPr>
        <w:t xml:space="preserve"> ri</w:t>
      </w:r>
      <w:r w:rsidRPr="003D4E19">
        <w:rPr>
          <w:rFonts w:ascii="Arial" w:eastAsia="Arial" w:hAnsi="Arial" w:cs="Arial"/>
          <w:spacing w:val="1"/>
        </w:rPr>
        <w:t>gh</w:t>
      </w:r>
      <w:r w:rsidRPr="003D4E19">
        <w:rPr>
          <w:rFonts w:ascii="Arial" w:eastAsia="Arial" w:hAnsi="Arial" w:cs="Arial"/>
        </w:rPr>
        <w:t>ts</w:t>
      </w:r>
      <w:r w:rsidRPr="003D4E19">
        <w:rPr>
          <w:rFonts w:ascii="Arial" w:eastAsia="Arial" w:hAnsi="Arial" w:cs="Arial"/>
          <w:spacing w:val="1"/>
        </w:rPr>
        <w:t xml:space="preserve"> </w:t>
      </w:r>
      <w:r w:rsidRPr="003D4E19">
        <w:rPr>
          <w:rFonts w:ascii="Arial" w:eastAsia="Arial" w:hAnsi="Arial" w:cs="Arial"/>
        </w:rPr>
        <w:t>c</w:t>
      </w:r>
      <w:r w:rsidRPr="003D4E19">
        <w:rPr>
          <w:rFonts w:ascii="Arial" w:eastAsia="Arial" w:hAnsi="Arial" w:cs="Arial"/>
          <w:spacing w:val="-1"/>
        </w:rPr>
        <w:t>l</w:t>
      </w:r>
      <w:r w:rsidRPr="003D4E19">
        <w:rPr>
          <w:rFonts w:ascii="Arial" w:eastAsia="Arial" w:hAnsi="Arial" w:cs="Arial"/>
          <w:spacing w:val="1"/>
        </w:rPr>
        <w:t>a</w:t>
      </w:r>
      <w:r w:rsidRPr="003D4E19">
        <w:rPr>
          <w:rFonts w:ascii="Arial" w:eastAsia="Arial" w:hAnsi="Arial" w:cs="Arial"/>
          <w:spacing w:val="-3"/>
        </w:rPr>
        <w:t>i</w:t>
      </w:r>
      <w:r w:rsidRPr="003D4E19">
        <w:rPr>
          <w:rFonts w:ascii="Arial" w:eastAsia="Arial" w:hAnsi="Arial" w:cs="Arial"/>
          <w:spacing w:val="2"/>
        </w:rPr>
        <w:t>m</w:t>
      </w:r>
      <w:r w:rsidRPr="003D4E19">
        <w:rPr>
          <w:rFonts w:ascii="Arial" w:eastAsia="Arial" w:hAnsi="Arial" w:cs="Arial"/>
        </w:rPr>
        <w:t>s</w:t>
      </w:r>
      <w:r w:rsidRPr="003D4E19">
        <w:rPr>
          <w:rFonts w:ascii="Arial" w:eastAsia="Arial" w:hAnsi="Arial" w:cs="Arial"/>
          <w:spacing w:val="1"/>
        </w:rPr>
        <w:t xml:space="preserve"> </w:t>
      </w:r>
      <w:r w:rsidRPr="003D4E19">
        <w:rPr>
          <w:rFonts w:ascii="Arial" w:eastAsia="Arial" w:hAnsi="Arial" w:cs="Arial"/>
          <w:spacing w:val="-2"/>
        </w:rPr>
        <w:t>f</w:t>
      </w:r>
      <w:r w:rsidRPr="003D4E19">
        <w:rPr>
          <w:rFonts w:ascii="Arial" w:eastAsia="Arial" w:hAnsi="Arial" w:cs="Arial"/>
          <w:spacing w:val="1"/>
        </w:rPr>
        <w:t>o</w:t>
      </w:r>
      <w:r w:rsidRPr="003D4E19">
        <w:rPr>
          <w:rFonts w:ascii="Arial" w:eastAsia="Arial" w:hAnsi="Arial" w:cs="Arial"/>
        </w:rPr>
        <w:t xml:space="preserve">r </w:t>
      </w:r>
      <w:r w:rsidRPr="003D4E19">
        <w:rPr>
          <w:rFonts w:ascii="Arial" w:eastAsia="Arial" w:hAnsi="Arial" w:cs="Arial"/>
          <w:spacing w:val="-1"/>
        </w:rPr>
        <w:t>a</w:t>
      </w:r>
      <w:r w:rsidRPr="003D4E19">
        <w:rPr>
          <w:rFonts w:ascii="Arial" w:eastAsia="Arial" w:hAnsi="Arial" w:cs="Arial"/>
        </w:rPr>
        <w:t>c</w:t>
      </w:r>
      <w:r w:rsidRPr="003D4E19">
        <w:rPr>
          <w:rFonts w:ascii="Arial" w:eastAsia="Arial" w:hAnsi="Arial" w:cs="Arial"/>
          <w:spacing w:val="1"/>
        </w:rPr>
        <w:t>t</w:t>
      </w:r>
      <w:r w:rsidRPr="003D4E19">
        <w:rPr>
          <w:rFonts w:ascii="Arial" w:eastAsia="Arial" w:hAnsi="Arial" w:cs="Arial"/>
          <w:spacing w:val="-1"/>
        </w:rPr>
        <w:t>i</w:t>
      </w:r>
      <w:r w:rsidRPr="003D4E19">
        <w:rPr>
          <w:rFonts w:ascii="Arial" w:eastAsia="Arial" w:hAnsi="Arial" w:cs="Arial"/>
          <w:spacing w:val="1"/>
        </w:rPr>
        <w:t>on</w:t>
      </w:r>
      <w:r w:rsidRPr="003D4E19">
        <w:rPr>
          <w:rFonts w:ascii="Arial" w:eastAsia="Arial" w:hAnsi="Arial" w:cs="Arial"/>
        </w:rPr>
        <w:t xml:space="preserve">s </w:t>
      </w:r>
      <w:r w:rsidRPr="003D4E19">
        <w:rPr>
          <w:rFonts w:ascii="Arial" w:eastAsia="Arial" w:hAnsi="Arial" w:cs="Arial"/>
          <w:spacing w:val="-2"/>
        </w:rPr>
        <w:t>t</w:t>
      </w:r>
      <w:r w:rsidRPr="003D4E19">
        <w:rPr>
          <w:rFonts w:ascii="Arial" w:eastAsia="Arial" w:hAnsi="Arial" w:cs="Arial"/>
          <w:spacing w:val="1"/>
        </w:rPr>
        <w:t>a</w:t>
      </w:r>
      <w:r w:rsidRPr="003D4E19">
        <w:rPr>
          <w:rFonts w:ascii="Arial" w:eastAsia="Arial" w:hAnsi="Arial" w:cs="Arial"/>
        </w:rPr>
        <w:t>k</w:t>
      </w:r>
      <w:r w:rsidRPr="003D4E19">
        <w:rPr>
          <w:rFonts w:ascii="Arial" w:eastAsia="Arial" w:hAnsi="Arial" w:cs="Arial"/>
          <w:spacing w:val="-1"/>
        </w:rPr>
        <w:t>i</w:t>
      </w:r>
      <w:r w:rsidRPr="003D4E19">
        <w:rPr>
          <w:rFonts w:ascii="Arial" w:eastAsia="Arial" w:hAnsi="Arial" w:cs="Arial"/>
          <w:spacing w:val="1"/>
        </w:rPr>
        <w:t>ng p</w:t>
      </w:r>
      <w:r w:rsidRPr="003D4E19">
        <w:rPr>
          <w:rFonts w:ascii="Arial" w:eastAsia="Arial" w:hAnsi="Arial" w:cs="Arial"/>
          <w:spacing w:val="-1"/>
        </w:rPr>
        <w:t>l</w:t>
      </w:r>
      <w:r w:rsidRPr="003D4E19">
        <w:rPr>
          <w:rFonts w:ascii="Arial" w:eastAsia="Arial" w:hAnsi="Arial" w:cs="Arial"/>
          <w:spacing w:val="1"/>
        </w:rPr>
        <w:t>a</w:t>
      </w:r>
      <w:r w:rsidRPr="003D4E19">
        <w:rPr>
          <w:rFonts w:ascii="Arial" w:eastAsia="Arial" w:hAnsi="Arial" w:cs="Arial"/>
        </w:rPr>
        <w:t>ce</w:t>
      </w:r>
      <w:r w:rsidRPr="003D4E19">
        <w:rPr>
          <w:rFonts w:ascii="Arial" w:eastAsia="Arial" w:hAnsi="Arial" w:cs="Arial"/>
          <w:spacing w:val="-1"/>
        </w:rPr>
        <w:t xml:space="preserve"> </w:t>
      </w:r>
      <w:r w:rsidRPr="003D4E19">
        <w:rPr>
          <w:rFonts w:ascii="Arial" w:eastAsia="Arial" w:hAnsi="Arial" w:cs="Arial"/>
          <w:spacing w:val="1"/>
        </w:rPr>
        <w:t>o</w:t>
      </w:r>
      <w:r w:rsidRPr="003D4E19">
        <w:rPr>
          <w:rFonts w:ascii="Arial" w:eastAsia="Arial" w:hAnsi="Arial" w:cs="Arial"/>
        </w:rPr>
        <w:t>v</w:t>
      </w:r>
      <w:r w:rsidRPr="003D4E19">
        <w:rPr>
          <w:rFonts w:ascii="Arial" w:eastAsia="Arial" w:hAnsi="Arial" w:cs="Arial"/>
          <w:spacing w:val="1"/>
        </w:rPr>
        <w:t>e</w:t>
      </w:r>
      <w:r w:rsidRPr="003D4E19">
        <w:rPr>
          <w:rFonts w:ascii="Arial" w:eastAsia="Arial" w:hAnsi="Arial" w:cs="Arial"/>
          <w:spacing w:val="-1"/>
        </w:rPr>
        <w:t>r</w:t>
      </w:r>
      <w:r w:rsidRPr="003D4E19">
        <w:rPr>
          <w:rFonts w:ascii="Arial" w:eastAsia="Arial" w:hAnsi="Arial" w:cs="Arial"/>
        </w:rPr>
        <w:t>s</w:t>
      </w:r>
      <w:r w:rsidRPr="003D4E19">
        <w:rPr>
          <w:rFonts w:ascii="Arial" w:eastAsia="Arial" w:hAnsi="Arial" w:cs="Arial"/>
          <w:spacing w:val="1"/>
        </w:rPr>
        <w:t>ea</w:t>
      </w:r>
      <w:r w:rsidRPr="003D4E19">
        <w:rPr>
          <w:rFonts w:ascii="Arial" w:eastAsia="Arial" w:hAnsi="Arial" w:cs="Arial"/>
          <w:spacing w:val="-2"/>
        </w:rPr>
        <w:t>s</w:t>
      </w:r>
      <w:r w:rsidRPr="003D4E19">
        <w:rPr>
          <w:rFonts w:ascii="Arial" w:eastAsia="Arial" w:hAnsi="Arial" w:cs="Arial"/>
        </w:rPr>
        <w:t>,</w:t>
      </w:r>
      <w:r w:rsidRPr="003D4E19">
        <w:rPr>
          <w:rFonts w:ascii="Arial" w:eastAsia="Arial" w:hAnsi="Arial" w:cs="Arial"/>
          <w:spacing w:val="1"/>
        </w:rPr>
        <w:t xml:space="preserve"> </w:t>
      </w:r>
      <w:r w:rsidRPr="003D4E19">
        <w:rPr>
          <w:rFonts w:ascii="Arial" w:eastAsia="Arial" w:hAnsi="Arial" w:cs="Arial"/>
          <w:spacing w:val="-1"/>
        </w:rPr>
        <w:t>a</w:t>
      </w:r>
      <w:r w:rsidRPr="003D4E19">
        <w:rPr>
          <w:rFonts w:ascii="Arial" w:eastAsia="Arial" w:hAnsi="Arial" w:cs="Arial"/>
          <w:spacing w:val="1"/>
        </w:rPr>
        <w:t>n</w:t>
      </w:r>
      <w:r w:rsidRPr="003D4E19">
        <w:rPr>
          <w:rFonts w:ascii="Arial" w:eastAsia="Arial" w:hAnsi="Arial" w:cs="Arial"/>
        </w:rPr>
        <w:t>d</w:t>
      </w:r>
      <w:r w:rsidRPr="003D4E19">
        <w:rPr>
          <w:rFonts w:ascii="Arial" w:eastAsia="Arial" w:hAnsi="Arial" w:cs="Arial"/>
          <w:spacing w:val="-1"/>
        </w:rPr>
        <w:t xml:space="preserve"> </w:t>
      </w:r>
      <w:r w:rsidRPr="003D4E19">
        <w:rPr>
          <w:rFonts w:ascii="Arial" w:eastAsia="Arial" w:hAnsi="Arial" w:cs="Arial"/>
          <w:spacing w:val="-2"/>
        </w:rPr>
        <w:t>a</w:t>
      </w:r>
      <w:r w:rsidRPr="003D4E19">
        <w:rPr>
          <w:rFonts w:ascii="Arial" w:eastAsia="Arial" w:hAnsi="Arial" w:cs="Arial"/>
        </w:rPr>
        <w:t>v</w:t>
      </w:r>
      <w:r w:rsidRPr="003D4E19">
        <w:rPr>
          <w:rFonts w:ascii="Arial" w:eastAsia="Arial" w:hAnsi="Arial" w:cs="Arial"/>
          <w:spacing w:val="1"/>
        </w:rPr>
        <w:t>o</w:t>
      </w:r>
      <w:r w:rsidRPr="003D4E19">
        <w:rPr>
          <w:rFonts w:ascii="Arial" w:eastAsia="Arial" w:hAnsi="Arial" w:cs="Arial"/>
          <w:spacing w:val="-1"/>
        </w:rPr>
        <w:t>i</w:t>
      </w:r>
      <w:r w:rsidRPr="003D4E19">
        <w:rPr>
          <w:rFonts w:ascii="Arial" w:eastAsia="Arial" w:hAnsi="Arial" w:cs="Arial"/>
        </w:rPr>
        <w:t>d</w:t>
      </w:r>
      <w:r w:rsidRPr="003D4E19">
        <w:rPr>
          <w:rFonts w:ascii="Arial" w:eastAsia="Arial" w:hAnsi="Arial" w:cs="Arial"/>
          <w:spacing w:val="2"/>
        </w:rPr>
        <w:t xml:space="preserve"> </w:t>
      </w:r>
      <w:r w:rsidRPr="003D4E19">
        <w:rPr>
          <w:rFonts w:ascii="Arial" w:eastAsia="Arial" w:hAnsi="Arial" w:cs="Arial"/>
          <w:spacing w:val="1"/>
        </w:rPr>
        <w:t>t</w:t>
      </w:r>
      <w:r w:rsidRPr="003D4E19">
        <w:rPr>
          <w:rFonts w:ascii="Arial" w:eastAsia="Arial" w:hAnsi="Arial" w:cs="Arial"/>
          <w:spacing w:val="-1"/>
        </w:rPr>
        <w:t>h</w:t>
      </w:r>
      <w:r w:rsidRPr="003D4E19">
        <w:rPr>
          <w:rFonts w:ascii="Arial" w:eastAsia="Arial" w:hAnsi="Arial" w:cs="Arial"/>
        </w:rPr>
        <w:t>e</w:t>
      </w:r>
      <w:r w:rsidRPr="003D4E19">
        <w:rPr>
          <w:rFonts w:ascii="Arial" w:eastAsia="Arial" w:hAnsi="Arial" w:cs="Arial"/>
          <w:spacing w:val="2"/>
        </w:rPr>
        <w:t xml:space="preserve"> </w:t>
      </w:r>
      <w:r w:rsidRPr="003D4E19">
        <w:rPr>
          <w:rFonts w:ascii="Arial" w:eastAsia="Arial" w:hAnsi="Arial" w:cs="Arial"/>
          <w:spacing w:val="-1"/>
        </w:rPr>
        <w:t>u</w:t>
      </w:r>
      <w:r w:rsidRPr="003D4E19">
        <w:rPr>
          <w:rFonts w:ascii="Arial" w:eastAsia="Arial" w:hAnsi="Arial" w:cs="Arial"/>
          <w:spacing w:val="1"/>
        </w:rPr>
        <w:t>n</w:t>
      </w:r>
      <w:r w:rsidRPr="003D4E19">
        <w:rPr>
          <w:rFonts w:ascii="Arial" w:eastAsia="Arial" w:hAnsi="Arial" w:cs="Arial"/>
        </w:rPr>
        <w:t>c</w:t>
      </w:r>
      <w:r w:rsidRPr="003D4E19">
        <w:rPr>
          <w:rFonts w:ascii="Arial" w:eastAsia="Arial" w:hAnsi="Arial" w:cs="Arial"/>
          <w:spacing w:val="1"/>
        </w:rPr>
        <w:t>e</w:t>
      </w:r>
      <w:r w:rsidRPr="003D4E19">
        <w:rPr>
          <w:rFonts w:ascii="Arial" w:eastAsia="Arial" w:hAnsi="Arial" w:cs="Arial"/>
          <w:spacing w:val="-1"/>
        </w:rPr>
        <w:t>r</w:t>
      </w:r>
      <w:r w:rsidRPr="003D4E19">
        <w:rPr>
          <w:rFonts w:ascii="Arial" w:eastAsia="Arial" w:hAnsi="Arial" w:cs="Arial"/>
          <w:spacing w:val="1"/>
        </w:rPr>
        <w:t>ta</w:t>
      </w:r>
      <w:r w:rsidRPr="003D4E19">
        <w:rPr>
          <w:rFonts w:ascii="Arial" w:eastAsia="Arial" w:hAnsi="Arial" w:cs="Arial"/>
          <w:spacing w:val="-3"/>
        </w:rPr>
        <w:t>i</w:t>
      </w:r>
      <w:r w:rsidRPr="003D4E19">
        <w:rPr>
          <w:rFonts w:ascii="Arial" w:eastAsia="Arial" w:hAnsi="Arial" w:cs="Arial"/>
          <w:spacing w:val="1"/>
        </w:rPr>
        <w:t>n</w:t>
      </w:r>
      <w:r w:rsidRPr="003D4E19">
        <w:rPr>
          <w:rFonts w:ascii="Arial" w:eastAsia="Arial" w:hAnsi="Arial" w:cs="Arial"/>
        </w:rPr>
        <w:t>ty</w:t>
      </w:r>
      <w:r w:rsidRPr="003D4E19">
        <w:rPr>
          <w:rFonts w:ascii="Arial" w:eastAsia="Arial" w:hAnsi="Arial" w:cs="Arial"/>
          <w:spacing w:val="1"/>
        </w:rPr>
        <w:t xml:space="preserve"> </w:t>
      </w:r>
      <w:r w:rsidRPr="003D4E19">
        <w:rPr>
          <w:rFonts w:ascii="Arial" w:eastAsia="Arial" w:hAnsi="Arial" w:cs="Arial"/>
          <w:spacing w:val="-1"/>
        </w:rPr>
        <w:t>o</w:t>
      </w:r>
      <w:r w:rsidRPr="003D4E19">
        <w:rPr>
          <w:rFonts w:ascii="Arial" w:eastAsia="Arial" w:hAnsi="Arial" w:cs="Arial"/>
        </w:rPr>
        <w:t>f</w:t>
      </w:r>
      <w:r w:rsidRPr="003D4E19">
        <w:rPr>
          <w:rFonts w:ascii="Arial" w:eastAsia="Arial" w:hAnsi="Arial" w:cs="Arial"/>
          <w:spacing w:val="-1"/>
        </w:rPr>
        <w:t xml:space="preserve"> </w:t>
      </w:r>
      <w:r w:rsidRPr="003D4E19">
        <w:rPr>
          <w:rFonts w:ascii="Arial" w:eastAsia="Arial" w:hAnsi="Arial" w:cs="Arial"/>
          <w:spacing w:val="1"/>
        </w:rPr>
        <w:t>app</w:t>
      </w:r>
      <w:r w:rsidRPr="003D4E19">
        <w:rPr>
          <w:rFonts w:ascii="Arial" w:eastAsia="Arial" w:hAnsi="Arial" w:cs="Arial"/>
          <w:spacing w:val="-1"/>
        </w:rPr>
        <w:t>l</w:t>
      </w:r>
      <w:r w:rsidRPr="003D4E19">
        <w:rPr>
          <w:rFonts w:ascii="Arial" w:eastAsia="Arial" w:hAnsi="Arial" w:cs="Arial"/>
        </w:rPr>
        <w:t>y</w:t>
      </w:r>
      <w:r w:rsidRPr="003D4E19">
        <w:rPr>
          <w:rFonts w:ascii="Arial" w:eastAsia="Arial" w:hAnsi="Arial" w:cs="Arial"/>
          <w:spacing w:val="-1"/>
        </w:rPr>
        <w:t>i</w:t>
      </w:r>
      <w:r w:rsidRPr="003D4E19">
        <w:rPr>
          <w:rFonts w:ascii="Arial" w:eastAsia="Arial" w:hAnsi="Arial" w:cs="Arial"/>
          <w:spacing w:val="1"/>
        </w:rPr>
        <w:t>n</w:t>
      </w:r>
      <w:r w:rsidRPr="003D4E19">
        <w:rPr>
          <w:rFonts w:ascii="Arial" w:eastAsia="Arial" w:hAnsi="Arial" w:cs="Arial"/>
        </w:rPr>
        <w:t>g</w:t>
      </w:r>
      <w:r w:rsidRPr="003D4E19">
        <w:rPr>
          <w:rFonts w:ascii="Arial" w:eastAsia="Arial" w:hAnsi="Arial" w:cs="Arial"/>
          <w:spacing w:val="-1"/>
        </w:rPr>
        <w:t xml:space="preserve"> </w:t>
      </w:r>
      <w:r w:rsidRPr="003D4E19">
        <w:rPr>
          <w:rFonts w:ascii="Arial" w:eastAsia="Arial" w:hAnsi="Arial" w:cs="Arial"/>
          <w:spacing w:val="1"/>
        </w:rPr>
        <w:t>d</w:t>
      </w:r>
      <w:r w:rsidRPr="003D4E19">
        <w:rPr>
          <w:rFonts w:ascii="Arial" w:eastAsia="Arial" w:hAnsi="Arial" w:cs="Arial"/>
          <w:spacing w:val="-1"/>
        </w:rPr>
        <w:t>i</w:t>
      </w:r>
      <w:r w:rsidRPr="003D4E19">
        <w:rPr>
          <w:rFonts w:ascii="Arial" w:eastAsia="Arial" w:hAnsi="Arial" w:cs="Arial"/>
          <w:spacing w:val="1"/>
        </w:rPr>
        <w:t>f</w:t>
      </w:r>
      <w:r w:rsidRPr="003D4E19">
        <w:rPr>
          <w:rFonts w:ascii="Arial" w:eastAsia="Arial" w:hAnsi="Arial" w:cs="Arial"/>
          <w:spacing w:val="-2"/>
        </w:rPr>
        <w:t>f</w:t>
      </w:r>
      <w:r w:rsidRPr="003D4E19">
        <w:rPr>
          <w:rFonts w:ascii="Arial" w:eastAsia="Arial" w:hAnsi="Arial" w:cs="Arial"/>
          <w:spacing w:val="1"/>
        </w:rPr>
        <w:t>e</w:t>
      </w:r>
      <w:r w:rsidRPr="003D4E19">
        <w:rPr>
          <w:rFonts w:ascii="Arial" w:eastAsia="Arial" w:hAnsi="Arial" w:cs="Arial"/>
          <w:spacing w:val="-1"/>
        </w:rPr>
        <w:t>r</w:t>
      </w:r>
      <w:r w:rsidRPr="003D4E19">
        <w:rPr>
          <w:rFonts w:ascii="Arial" w:eastAsia="Arial" w:hAnsi="Arial" w:cs="Arial"/>
          <w:spacing w:val="1"/>
        </w:rPr>
        <w:t>en</w:t>
      </w:r>
      <w:r w:rsidRPr="003D4E19">
        <w:rPr>
          <w:rFonts w:ascii="Arial" w:eastAsia="Arial" w:hAnsi="Arial" w:cs="Arial"/>
        </w:rPr>
        <w:t>t</w:t>
      </w:r>
      <w:r w:rsidRPr="003D4E19">
        <w:rPr>
          <w:rFonts w:ascii="Arial" w:eastAsia="Arial" w:hAnsi="Arial" w:cs="Arial"/>
          <w:spacing w:val="-1"/>
        </w:rPr>
        <w:t xml:space="preserve"> r</w:t>
      </w:r>
      <w:r w:rsidRPr="003D4E19">
        <w:rPr>
          <w:rFonts w:ascii="Arial" w:eastAsia="Arial" w:hAnsi="Arial" w:cs="Arial"/>
          <w:spacing w:val="1"/>
        </w:rPr>
        <w:t>u</w:t>
      </w:r>
      <w:r w:rsidRPr="003D4E19">
        <w:rPr>
          <w:rFonts w:ascii="Arial" w:eastAsia="Arial" w:hAnsi="Arial" w:cs="Arial"/>
          <w:spacing w:val="-1"/>
        </w:rPr>
        <w:t>l</w:t>
      </w:r>
      <w:r w:rsidRPr="003D4E19">
        <w:rPr>
          <w:rFonts w:ascii="Arial" w:eastAsia="Arial" w:hAnsi="Arial" w:cs="Arial"/>
          <w:spacing w:val="1"/>
        </w:rPr>
        <w:t>e</w:t>
      </w:r>
      <w:r w:rsidRPr="003D4E19">
        <w:rPr>
          <w:rFonts w:ascii="Arial" w:eastAsia="Arial" w:hAnsi="Arial" w:cs="Arial"/>
        </w:rPr>
        <w:t>s</w:t>
      </w:r>
      <w:r w:rsidRPr="003D4E19">
        <w:rPr>
          <w:rFonts w:ascii="Arial" w:eastAsia="Arial" w:hAnsi="Arial" w:cs="Arial"/>
          <w:spacing w:val="-2"/>
        </w:rPr>
        <w:t xml:space="preserve"> </w:t>
      </w:r>
      <w:r w:rsidRPr="003D4E19">
        <w:rPr>
          <w:rFonts w:ascii="Arial" w:eastAsia="Arial" w:hAnsi="Arial" w:cs="Arial"/>
          <w:spacing w:val="-1"/>
        </w:rPr>
        <w:t>i</w:t>
      </w:r>
      <w:r w:rsidRPr="003D4E19">
        <w:rPr>
          <w:rFonts w:ascii="Arial" w:eastAsia="Arial" w:hAnsi="Arial" w:cs="Arial"/>
        </w:rPr>
        <w:t>n</w:t>
      </w:r>
      <w:r w:rsidRPr="003D4E19">
        <w:rPr>
          <w:rFonts w:ascii="Arial" w:eastAsia="Arial" w:hAnsi="Arial" w:cs="Arial"/>
          <w:spacing w:val="2"/>
        </w:rPr>
        <w:t xml:space="preserve"> </w:t>
      </w:r>
      <w:r w:rsidRPr="003D4E19">
        <w:rPr>
          <w:rFonts w:ascii="Arial" w:eastAsia="Arial" w:hAnsi="Arial" w:cs="Arial"/>
          <w:spacing w:val="1"/>
        </w:rPr>
        <w:t>a</w:t>
      </w:r>
      <w:r w:rsidRPr="003D4E19">
        <w:rPr>
          <w:rFonts w:ascii="Arial" w:eastAsia="Arial" w:hAnsi="Arial" w:cs="Arial"/>
        </w:rPr>
        <w:t>n</w:t>
      </w:r>
      <w:r w:rsidRPr="003D4E19">
        <w:rPr>
          <w:rFonts w:ascii="Arial" w:eastAsia="Arial" w:hAnsi="Arial" w:cs="Arial"/>
          <w:spacing w:val="-1"/>
        </w:rPr>
        <w:t xml:space="preserve"> </w:t>
      </w:r>
      <w:r w:rsidRPr="003D4E19">
        <w:rPr>
          <w:rFonts w:ascii="Arial" w:eastAsia="Arial" w:hAnsi="Arial" w:cs="Arial"/>
          <w:spacing w:val="1"/>
        </w:rPr>
        <w:t>a</w:t>
      </w:r>
      <w:r w:rsidRPr="003D4E19">
        <w:rPr>
          <w:rFonts w:ascii="Arial" w:eastAsia="Arial" w:hAnsi="Arial" w:cs="Arial"/>
          <w:spacing w:val="-1"/>
        </w:rPr>
        <w:t>r</w:t>
      </w:r>
      <w:r w:rsidRPr="003D4E19">
        <w:rPr>
          <w:rFonts w:ascii="Arial" w:eastAsia="Arial" w:hAnsi="Arial" w:cs="Arial"/>
          <w:spacing w:val="1"/>
        </w:rPr>
        <w:t>ea a</w:t>
      </w:r>
      <w:r w:rsidRPr="003D4E19">
        <w:rPr>
          <w:rFonts w:ascii="Arial" w:eastAsia="Arial" w:hAnsi="Arial" w:cs="Arial"/>
          <w:spacing w:val="-1"/>
        </w:rPr>
        <w:t>lr</w:t>
      </w:r>
      <w:r w:rsidRPr="003D4E19">
        <w:rPr>
          <w:rFonts w:ascii="Arial" w:eastAsia="Arial" w:hAnsi="Arial" w:cs="Arial"/>
          <w:spacing w:val="1"/>
        </w:rPr>
        <w:t>ead</w:t>
      </w:r>
      <w:r w:rsidRPr="003D4E19">
        <w:rPr>
          <w:rFonts w:ascii="Arial" w:eastAsia="Arial" w:hAnsi="Arial" w:cs="Arial"/>
        </w:rPr>
        <w:t xml:space="preserve">y </w:t>
      </w:r>
      <w:r w:rsidRPr="003D4E19">
        <w:rPr>
          <w:rFonts w:ascii="Arial" w:eastAsia="Arial" w:hAnsi="Arial" w:cs="Arial"/>
          <w:spacing w:val="-2"/>
        </w:rPr>
        <w:t>c</w:t>
      </w:r>
      <w:r w:rsidRPr="003D4E19">
        <w:rPr>
          <w:rFonts w:ascii="Arial" w:eastAsia="Arial" w:hAnsi="Arial" w:cs="Arial"/>
          <w:spacing w:val="1"/>
        </w:rPr>
        <w:t>o</w:t>
      </w:r>
      <w:r w:rsidRPr="003D4E19">
        <w:rPr>
          <w:rFonts w:ascii="Arial" w:eastAsia="Arial" w:hAnsi="Arial" w:cs="Arial"/>
        </w:rPr>
        <w:t>v</w:t>
      </w:r>
      <w:r w:rsidRPr="003D4E19">
        <w:rPr>
          <w:rFonts w:ascii="Arial" w:eastAsia="Arial" w:hAnsi="Arial" w:cs="Arial"/>
          <w:spacing w:val="1"/>
        </w:rPr>
        <w:t>e</w:t>
      </w:r>
      <w:r w:rsidRPr="003D4E19">
        <w:rPr>
          <w:rFonts w:ascii="Arial" w:eastAsia="Arial" w:hAnsi="Arial" w:cs="Arial"/>
          <w:spacing w:val="-1"/>
        </w:rPr>
        <w:t>r</w:t>
      </w:r>
      <w:r w:rsidRPr="003D4E19">
        <w:rPr>
          <w:rFonts w:ascii="Arial" w:eastAsia="Arial" w:hAnsi="Arial" w:cs="Arial"/>
          <w:spacing w:val="1"/>
        </w:rPr>
        <w:t>e</w:t>
      </w:r>
      <w:r w:rsidRPr="003D4E19">
        <w:rPr>
          <w:rFonts w:ascii="Arial" w:eastAsia="Arial" w:hAnsi="Arial" w:cs="Arial"/>
        </w:rPr>
        <w:t>d</w:t>
      </w:r>
      <w:r w:rsidRPr="003D4E19">
        <w:rPr>
          <w:rFonts w:ascii="Arial" w:eastAsia="Arial" w:hAnsi="Arial" w:cs="Arial"/>
          <w:spacing w:val="-1"/>
        </w:rPr>
        <w:t xml:space="preserve"> </w:t>
      </w:r>
      <w:r w:rsidRPr="003D4E19">
        <w:rPr>
          <w:rFonts w:ascii="Arial" w:eastAsia="Arial" w:hAnsi="Arial" w:cs="Arial"/>
          <w:spacing w:val="1"/>
        </w:rPr>
        <w:t>b</w:t>
      </w:r>
      <w:r w:rsidRPr="003D4E19">
        <w:rPr>
          <w:rFonts w:ascii="Arial" w:eastAsia="Arial" w:hAnsi="Arial" w:cs="Arial"/>
        </w:rPr>
        <w:t>y</w:t>
      </w:r>
      <w:r w:rsidRPr="003D4E19">
        <w:rPr>
          <w:rFonts w:ascii="Arial" w:eastAsia="Arial" w:hAnsi="Arial" w:cs="Arial"/>
          <w:spacing w:val="1"/>
        </w:rPr>
        <w:t xml:space="preserve"> </w:t>
      </w:r>
      <w:r w:rsidRPr="003D4E19">
        <w:rPr>
          <w:rFonts w:ascii="Arial" w:eastAsia="Arial" w:hAnsi="Arial" w:cs="Arial"/>
          <w:spacing w:val="-2"/>
        </w:rPr>
        <w:t>t</w:t>
      </w:r>
      <w:r w:rsidRPr="003D4E19">
        <w:rPr>
          <w:rFonts w:ascii="Arial" w:eastAsia="Arial" w:hAnsi="Arial" w:cs="Arial"/>
          <w:spacing w:val="1"/>
        </w:rPr>
        <w:t>h</w:t>
      </w:r>
      <w:r w:rsidRPr="003D4E19">
        <w:rPr>
          <w:rFonts w:ascii="Arial" w:eastAsia="Arial" w:hAnsi="Arial" w:cs="Arial"/>
        </w:rPr>
        <w:t>e</w:t>
      </w:r>
      <w:r w:rsidRPr="003D4E19">
        <w:rPr>
          <w:rFonts w:ascii="Arial" w:eastAsia="Arial" w:hAnsi="Arial" w:cs="Arial"/>
          <w:spacing w:val="-1"/>
        </w:rPr>
        <w:t xml:space="preserve"> l</w:t>
      </w:r>
      <w:r w:rsidRPr="003D4E19">
        <w:rPr>
          <w:rFonts w:ascii="Arial" w:eastAsia="Arial" w:hAnsi="Arial" w:cs="Arial"/>
          <w:spacing w:val="1"/>
        </w:rPr>
        <w:t>a</w:t>
      </w:r>
      <w:r w:rsidRPr="003D4E19">
        <w:rPr>
          <w:rFonts w:ascii="Arial" w:eastAsia="Arial" w:hAnsi="Arial" w:cs="Arial"/>
        </w:rPr>
        <w:t xml:space="preserve">w </w:t>
      </w:r>
      <w:r w:rsidRPr="003D4E19">
        <w:rPr>
          <w:rFonts w:ascii="Arial" w:eastAsia="Arial" w:hAnsi="Arial" w:cs="Arial"/>
          <w:spacing w:val="1"/>
        </w:rPr>
        <w:t>o</w:t>
      </w:r>
      <w:r w:rsidRPr="003D4E19">
        <w:rPr>
          <w:rFonts w:ascii="Arial" w:eastAsia="Arial" w:hAnsi="Arial" w:cs="Arial"/>
        </w:rPr>
        <w:t>f</w:t>
      </w:r>
      <w:r w:rsidRPr="003D4E19">
        <w:rPr>
          <w:rFonts w:ascii="Arial" w:eastAsia="Arial" w:hAnsi="Arial" w:cs="Arial"/>
          <w:spacing w:val="-1"/>
        </w:rPr>
        <w:t xml:space="preserve"> </w:t>
      </w:r>
      <w:r w:rsidRPr="003D4E19">
        <w:rPr>
          <w:rFonts w:ascii="Arial" w:eastAsia="Arial" w:hAnsi="Arial" w:cs="Arial"/>
          <w:spacing w:val="1"/>
        </w:rPr>
        <w:t>a</w:t>
      </w:r>
      <w:r w:rsidRPr="003D4E19">
        <w:rPr>
          <w:rFonts w:ascii="Arial" w:eastAsia="Arial" w:hAnsi="Arial" w:cs="Arial"/>
          <w:spacing w:val="-1"/>
        </w:rPr>
        <w:t>r</w:t>
      </w:r>
      <w:r w:rsidRPr="003D4E19">
        <w:rPr>
          <w:rFonts w:ascii="Arial" w:eastAsia="Arial" w:hAnsi="Arial" w:cs="Arial"/>
          <w:spacing w:val="2"/>
        </w:rPr>
        <w:t>m</w:t>
      </w:r>
      <w:r w:rsidRPr="003D4E19">
        <w:rPr>
          <w:rFonts w:ascii="Arial" w:eastAsia="Arial" w:hAnsi="Arial" w:cs="Arial"/>
          <w:spacing w:val="-1"/>
        </w:rPr>
        <w:t>e</w:t>
      </w:r>
      <w:r w:rsidRPr="003D4E19">
        <w:rPr>
          <w:rFonts w:ascii="Arial" w:eastAsia="Arial" w:hAnsi="Arial" w:cs="Arial"/>
        </w:rPr>
        <w:t>d</w:t>
      </w:r>
      <w:r w:rsidRPr="003D4E19">
        <w:rPr>
          <w:rFonts w:ascii="Arial" w:eastAsia="Arial" w:hAnsi="Arial" w:cs="Arial"/>
          <w:spacing w:val="2"/>
        </w:rPr>
        <w:t xml:space="preserve"> </w:t>
      </w:r>
      <w:r w:rsidRPr="003D4E19">
        <w:rPr>
          <w:rFonts w:ascii="Arial" w:eastAsia="Arial" w:hAnsi="Arial" w:cs="Arial"/>
        </w:rPr>
        <w:t>c</w:t>
      </w:r>
      <w:r w:rsidRPr="003D4E19">
        <w:rPr>
          <w:rFonts w:ascii="Arial" w:eastAsia="Arial" w:hAnsi="Arial" w:cs="Arial"/>
          <w:spacing w:val="-1"/>
        </w:rPr>
        <w:t>o</w:t>
      </w:r>
      <w:r w:rsidRPr="003D4E19">
        <w:rPr>
          <w:rFonts w:ascii="Arial" w:eastAsia="Arial" w:hAnsi="Arial" w:cs="Arial"/>
          <w:spacing w:val="1"/>
        </w:rPr>
        <w:t>n</w:t>
      </w:r>
      <w:r w:rsidRPr="003D4E19">
        <w:rPr>
          <w:rFonts w:ascii="Arial" w:eastAsia="Arial" w:hAnsi="Arial" w:cs="Arial"/>
        </w:rPr>
        <w:t>f</w:t>
      </w:r>
      <w:r w:rsidRPr="003D4E19">
        <w:rPr>
          <w:rFonts w:ascii="Arial" w:eastAsia="Arial" w:hAnsi="Arial" w:cs="Arial"/>
          <w:spacing w:val="-1"/>
        </w:rPr>
        <w:t>li</w:t>
      </w:r>
      <w:r w:rsidRPr="003D4E19">
        <w:rPr>
          <w:rFonts w:ascii="Arial" w:eastAsia="Arial" w:hAnsi="Arial" w:cs="Arial"/>
        </w:rPr>
        <w:t>c</w:t>
      </w:r>
      <w:r w:rsidRPr="003D4E19">
        <w:rPr>
          <w:rFonts w:ascii="Arial" w:eastAsia="Arial" w:hAnsi="Arial" w:cs="Arial"/>
          <w:spacing w:val="1"/>
        </w:rPr>
        <w:t>t</w:t>
      </w:r>
      <w:r w:rsidRPr="003D4E19">
        <w:rPr>
          <w:rFonts w:ascii="Arial" w:eastAsia="Arial" w:hAnsi="Arial" w:cs="Arial"/>
        </w:rPr>
        <w:t>.</w:t>
      </w:r>
      <w:r w:rsidR="00632163" w:rsidRPr="003D4E19">
        <w:rPr>
          <w:rFonts w:ascii="Arial" w:eastAsia="Arial" w:hAnsi="Arial" w:cs="Arial"/>
        </w:rPr>
        <w:t>”</w:t>
      </w:r>
      <w:r w:rsidR="00632163" w:rsidRPr="003D4E19">
        <w:rPr>
          <w:rFonts w:ascii="Arial" w:hAnsi="Arial" w:cs="Arial"/>
        </w:rPr>
        <w:t xml:space="preserve">. </w:t>
      </w:r>
      <w:r w:rsidR="00590DDE" w:rsidRPr="003D4E19">
        <w:rPr>
          <w:rFonts w:ascii="Arial" w:hAnsi="Arial" w:cs="Arial"/>
        </w:rPr>
        <w:t xml:space="preserve">Further, </w:t>
      </w:r>
      <w:r w:rsidR="00590DDE" w:rsidRPr="003D4E19">
        <w:rPr>
          <w:rFonts w:ascii="Arial" w:eastAsia="Arial" w:hAnsi="Arial" w:cs="Arial"/>
          <w:spacing w:val="1"/>
        </w:rPr>
        <w:t>p</w:t>
      </w:r>
      <w:r w:rsidR="003B0FA3" w:rsidRPr="003D4E19">
        <w:rPr>
          <w:rFonts w:ascii="Arial" w:eastAsia="Arial" w:hAnsi="Arial" w:cs="Arial"/>
          <w:spacing w:val="1"/>
        </w:rPr>
        <w:t xml:space="preserve">aragraph 142 </w:t>
      </w:r>
      <w:r w:rsidR="00632163" w:rsidRPr="003D4E19">
        <w:rPr>
          <w:rFonts w:ascii="Arial" w:eastAsia="Arial" w:hAnsi="Arial" w:cs="Arial"/>
          <w:spacing w:val="1"/>
        </w:rPr>
        <w:t xml:space="preserve">states </w:t>
      </w:r>
      <w:r w:rsidR="003B0FA3" w:rsidRPr="003D4E19">
        <w:rPr>
          <w:rFonts w:ascii="Arial" w:eastAsia="Arial" w:hAnsi="Arial" w:cs="Arial"/>
          <w:spacing w:val="1"/>
        </w:rPr>
        <w:t>“S</w:t>
      </w:r>
      <w:r w:rsidR="003B0FA3" w:rsidRPr="003D4E19">
        <w:rPr>
          <w:rFonts w:ascii="Arial" w:eastAsia="Arial" w:hAnsi="Arial" w:cs="Arial"/>
          <w:spacing w:val="-1"/>
        </w:rPr>
        <w:t>i</w:t>
      </w:r>
      <w:r w:rsidR="003B0FA3" w:rsidRPr="003D4E19">
        <w:rPr>
          <w:rFonts w:ascii="Arial" w:eastAsia="Arial" w:hAnsi="Arial" w:cs="Arial"/>
          <w:spacing w:val="1"/>
        </w:rPr>
        <w:t>n</w:t>
      </w:r>
      <w:r w:rsidR="003B0FA3" w:rsidRPr="003D4E19">
        <w:rPr>
          <w:rFonts w:ascii="Arial" w:eastAsia="Arial" w:hAnsi="Arial" w:cs="Arial"/>
        </w:rPr>
        <w:t>ce</w:t>
      </w:r>
      <w:r w:rsidR="003B0FA3" w:rsidRPr="003D4E19">
        <w:rPr>
          <w:rFonts w:ascii="Arial" w:eastAsia="Arial" w:hAnsi="Arial" w:cs="Arial"/>
          <w:spacing w:val="2"/>
        </w:rPr>
        <w:t xml:space="preserve"> </w:t>
      </w:r>
      <w:r w:rsidR="003B0FA3" w:rsidRPr="003D4E19">
        <w:rPr>
          <w:rFonts w:ascii="Arial" w:eastAsia="Arial" w:hAnsi="Arial" w:cs="Arial"/>
          <w:spacing w:val="-2"/>
        </w:rPr>
        <w:t>t</w:t>
      </w:r>
      <w:r w:rsidR="003B0FA3" w:rsidRPr="003D4E19">
        <w:rPr>
          <w:rFonts w:ascii="Arial" w:eastAsia="Arial" w:hAnsi="Arial" w:cs="Arial"/>
          <w:spacing w:val="1"/>
        </w:rPr>
        <w:t>h</w:t>
      </w:r>
      <w:r w:rsidR="003B0FA3" w:rsidRPr="003D4E19">
        <w:rPr>
          <w:rFonts w:ascii="Arial" w:eastAsia="Arial" w:hAnsi="Arial" w:cs="Arial"/>
        </w:rPr>
        <w:t>e</w:t>
      </w:r>
      <w:r w:rsidR="003B0FA3" w:rsidRPr="003D4E19">
        <w:rPr>
          <w:rFonts w:ascii="Arial" w:eastAsia="Arial" w:hAnsi="Arial" w:cs="Arial"/>
          <w:spacing w:val="2"/>
        </w:rPr>
        <w:t xml:space="preserve"> </w:t>
      </w:r>
      <w:r w:rsidR="003B0FA3" w:rsidRPr="003D4E19">
        <w:rPr>
          <w:rFonts w:ascii="Arial" w:eastAsia="Arial" w:hAnsi="Arial" w:cs="Arial"/>
          <w:spacing w:val="-1"/>
        </w:rPr>
        <w:t>Hu</w:t>
      </w:r>
      <w:r w:rsidR="003B0FA3" w:rsidRPr="003D4E19">
        <w:rPr>
          <w:rFonts w:ascii="Arial" w:eastAsia="Arial" w:hAnsi="Arial" w:cs="Arial"/>
          <w:spacing w:val="2"/>
        </w:rPr>
        <w:t>m</w:t>
      </w:r>
      <w:r w:rsidR="003B0FA3" w:rsidRPr="003D4E19">
        <w:rPr>
          <w:rFonts w:ascii="Arial" w:eastAsia="Arial" w:hAnsi="Arial" w:cs="Arial"/>
          <w:spacing w:val="-1"/>
        </w:rPr>
        <w:t>a</w:t>
      </w:r>
      <w:r w:rsidR="003B0FA3" w:rsidRPr="003D4E19">
        <w:rPr>
          <w:rFonts w:ascii="Arial" w:eastAsia="Arial" w:hAnsi="Arial" w:cs="Arial"/>
        </w:rPr>
        <w:t>n</w:t>
      </w:r>
      <w:r w:rsidR="003B0FA3" w:rsidRPr="003D4E19">
        <w:rPr>
          <w:rFonts w:ascii="Arial" w:eastAsia="Arial" w:hAnsi="Arial" w:cs="Arial"/>
          <w:spacing w:val="2"/>
        </w:rPr>
        <w:t xml:space="preserve"> </w:t>
      </w:r>
      <w:r w:rsidR="003B0FA3" w:rsidRPr="003D4E19">
        <w:rPr>
          <w:rFonts w:ascii="Arial" w:eastAsia="Arial" w:hAnsi="Arial" w:cs="Arial"/>
          <w:spacing w:val="-1"/>
        </w:rPr>
        <w:t>Ri</w:t>
      </w:r>
      <w:r w:rsidR="003B0FA3" w:rsidRPr="003D4E19">
        <w:rPr>
          <w:rFonts w:ascii="Arial" w:eastAsia="Arial" w:hAnsi="Arial" w:cs="Arial"/>
          <w:spacing w:val="1"/>
        </w:rPr>
        <w:t>g</w:t>
      </w:r>
      <w:r w:rsidR="003B0FA3" w:rsidRPr="003D4E19">
        <w:rPr>
          <w:rFonts w:ascii="Arial" w:eastAsia="Arial" w:hAnsi="Arial" w:cs="Arial"/>
          <w:spacing w:val="-2"/>
        </w:rPr>
        <w:t>h</w:t>
      </w:r>
      <w:r w:rsidR="003B0FA3" w:rsidRPr="003D4E19">
        <w:rPr>
          <w:rFonts w:ascii="Arial" w:eastAsia="Arial" w:hAnsi="Arial" w:cs="Arial"/>
          <w:spacing w:val="1"/>
        </w:rPr>
        <w:t>t</w:t>
      </w:r>
      <w:r w:rsidR="003B0FA3" w:rsidRPr="003D4E19">
        <w:rPr>
          <w:rFonts w:ascii="Arial" w:eastAsia="Arial" w:hAnsi="Arial" w:cs="Arial"/>
        </w:rPr>
        <w:t>s</w:t>
      </w:r>
      <w:r w:rsidR="003B0FA3" w:rsidRPr="003D4E19">
        <w:rPr>
          <w:rFonts w:ascii="Arial" w:eastAsia="Arial" w:hAnsi="Arial" w:cs="Arial"/>
          <w:spacing w:val="1"/>
        </w:rPr>
        <w:t xml:space="preserve"> A</w:t>
      </w:r>
      <w:r w:rsidR="003B0FA3" w:rsidRPr="003D4E19">
        <w:rPr>
          <w:rFonts w:ascii="Arial" w:eastAsia="Arial" w:hAnsi="Arial" w:cs="Arial"/>
        </w:rPr>
        <w:t>ct</w:t>
      </w:r>
      <w:r w:rsidR="003B0FA3" w:rsidRPr="003D4E19">
        <w:rPr>
          <w:rFonts w:ascii="Arial" w:eastAsia="Arial" w:hAnsi="Arial" w:cs="Arial"/>
          <w:spacing w:val="1"/>
        </w:rPr>
        <w:t xml:space="preserve"> </w:t>
      </w:r>
      <w:r w:rsidR="003B0FA3" w:rsidRPr="003D4E19">
        <w:rPr>
          <w:rFonts w:ascii="Arial" w:eastAsia="Arial" w:hAnsi="Arial" w:cs="Arial"/>
          <w:spacing w:val="-2"/>
        </w:rPr>
        <w:t>c</w:t>
      </w:r>
      <w:r w:rsidR="003B0FA3" w:rsidRPr="003D4E19">
        <w:rPr>
          <w:rFonts w:ascii="Arial" w:eastAsia="Arial" w:hAnsi="Arial" w:cs="Arial"/>
          <w:spacing w:val="1"/>
        </w:rPr>
        <w:t>a</w:t>
      </w:r>
      <w:r w:rsidR="003B0FA3" w:rsidRPr="003D4E19">
        <w:rPr>
          <w:rFonts w:ascii="Arial" w:eastAsia="Arial" w:hAnsi="Arial" w:cs="Arial"/>
          <w:spacing w:val="-1"/>
        </w:rPr>
        <w:t>m</w:t>
      </w:r>
      <w:r w:rsidR="003B0FA3" w:rsidRPr="003D4E19">
        <w:rPr>
          <w:rFonts w:ascii="Arial" w:eastAsia="Arial" w:hAnsi="Arial" w:cs="Arial"/>
        </w:rPr>
        <w:t>e</w:t>
      </w:r>
      <w:r w:rsidR="003B0FA3" w:rsidRPr="003D4E19">
        <w:rPr>
          <w:rFonts w:ascii="Arial" w:eastAsia="Arial" w:hAnsi="Arial" w:cs="Arial"/>
          <w:spacing w:val="2"/>
        </w:rPr>
        <w:t xml:space="preserve"> </w:t>
      </w:r>
      <w:r w:rsidR="003B0FA3" w:rsidRPr="003D4E19">
        <w:rPr>
          <w:rFonts w:ascii="Arial" w:eastAsia="Arial" w:hAnsi="Arial" w:cs="Arial"/>
          <w:spacing w:val="-1"/>
        </w:rPr>
        <w:t>i</w:t>
      </w:r>
      <w:r w:rsidR="003B0FA3" w:rsidRPr="003D4E19">
        <w:rPr>
          <w:rFonts w:ascii="Arial" w:eastAsia="Arial" w:hAnsi="Arial" w:cs="Arial"/>
          <w:spacing w:val="1"/>
        </w:rPr>
        <w:t>n</w:t>
      </w:r>
      <w:r w:rsidR="003B0FA3" w:rsidRPr="003D4E19">
        <w:rPr>
          <w:rFonts w:ascii="Arial" w:eastAsia="Arial" w:hAnsi="Arial" w:cs="Arial"/>
          <w:spacing w:val="-2"/>
        </w:rPr>
        <w:t>t</w:t>
      </w:r>
      <w:r w:rsidR="003B0FA3" w:rsidRPr="003D4E19">
        <w:rPr>
          <w:rFonts w:ascii="Arial" w:eastAsia="Arial" w:hAnsi="Arial" w:cs="Arial"/>
        </w:rPr>
        <w:t>o</w:t>
      </w:r>
      <w:r w:rsidR="003B0FA3" w:rsidRPr="003D4E19">
        <w:rPr>
          <w:rFonts w:ascii="Arial" w:eastAsia="Arial" w:hAnsi="Arial" w:cs="Arial"/>
          <w:spacing w:val="2"/>
        </w:rPr>
        <w:t xml:space="preserve"> </w:t>
      </w:r>
      <w:r w:rsidR="003B0FA3" w:rsidRPr="003D4E19">
        <w:rPr>
          <w:rFonts w:ascii="Arial" w:eastAsia="Arial" w:hAnsi="Arial" w:cs="Arial"/>
          <w:spacing w:val="1"/>
        </w:rPr>
        <w:t>fo</w:t>
      </w:r>
      <w:r w:rsidR="003B0FA3" w:rsidRPr="003D4E19">
        <w:rPr>
          <w:rFonts w:ascii="Arial" w:eastAsia="Arial" w:hAnsi="Arial" w:cs="Arial"/>
          <w:spacing w:val="-1"/>
        </w:rPr>
        <w:t>r</w:t>
      </w:r>
      <w:r w:rsidR="003B0FA3" w:rsidRPr="003D4E19">
        <w:rPr>
          <w:rFonts w:ascii="Arial" w:eastAsia="Arial" w:hAnsi="Arial" w:cs="Arial"/>
        </w:rPr>
        <w:t>c</w:t>
      </w:r>
      <w:r w:rsidR="003B0FA3" w:rsidRPr="003D4E19">
        <w:rPr>
          <w:rFonts w:ascii="Arial" w:eastAsia="Arial" w:hAnsi="Arial" w:cs="Arial"/>
          <w:spacing w:val="-1"/>
        </w:rPr>
        <w:t>e</w:t>
      </w:r>
      <w:r w:rsidR="003B0FA3" w:rsidRPr="003D4E19">
        <w:rPr>
          <w:rFonts w:ascii="Arial" w:eastAsia="Arial" w:hAnsi="Arial" w:cs="Arial"/>
        </w:rPr>
        <w:t>,</w:t>
      </w:r>
      <w:r w:rsidR="003B0FA3" w:rsidRPr="003D4E19">
        <w:rPr>
          <w:rFonts w:ascii="Arial" w:eastAsia="Arial" w:hAnsi="Arial" w:cs="Arial"/>
          <w:spacing w:val="-1"/>
        </w:rPr>
        <w:t xml:space="preserve"> </w:t>
      </w:r>
      <w:r w:rsidR="003B0FA3" w:rsidRPr="003D4E19">
        <w:rPr>
          <w:rFonts w:ascii="Arial" w:eastAsia="Arial" w:hAnsi="Arial" w:cs="Arial"/>
          <w:spacing w:val="1"/>
        </w:rPr>
        <w:t>th</w:t>
      </w:r>
      <w:r w:rsidR="003B0FA3" w:rsidRPr="003D4E19">
        <w:rPr>
          <w:rFonts w:ascii="Arial" w:eastAsia="Arial" w:hAnsi="Arial" w:cs="Arial"/>
        </w:rPr>
        <w:t>e</w:t>
      </w:r>
      <w:r w:rsidR="003B0FA3" w:rsidRPr="003D4E19">
        <w:rPr>
          <w:rFonts w:ascii="Arial" w:eastAsia="Arial" w:hAnsi="Arial" w:cs="Arial"/>
          <w:spacing w:val="2"/>
        </w:rPr>
        <w:t xml:space="preserve"> </w:t>
      </w:r>
      <w:r w:rsidR="003B0FA3" w:rsidRPr="003D4E19">
        <w:rPr>
          <w:rFonts w:ascii="Arial" w:eastAsia="Arial" w:hAnsi="Arial" w:cs="Arial"/>
          <w:spacing w:val="-1"/>
        </w:rPr>
        <w:t>le</w:t>
      </w:r>
      <w:r w:rsidR="003B0FA3" w:rsidRPr="003D4E19">
        <w:rPr>
          <w:rFonts w:ascii="Arial" w:eastAsia="Arial" w:hAnsi="Arial" w:cs="Arial"/>
          <w:spacing w:val="1"/>
        </w:rPr>
        <w:t>ga</w:t>
      </w:r>
      <w:r w:rsidR="003B0FA3" w:rsidRPr="003D4E19">
        <w:rPr>
          <w:rFonts w:ascii="Arial" w:eastAsia="Arial" w:hAnsi="Arial" w:cs="Arial"/>
        </w:rPr>
        <w:t xml:space="preserve">l </w:t>
      </w:r>
      <w:r w:rsidR="003B0FA3" w:rsidRPr="003D4E19">
        <w:rPr>
          <w:rFonts w:ascii="Arial" w:eastAsia="Arial" w:hAnsi="Arial" w:cs="Arial"/>
          <w:spacing w:val="1"/>
        </w:rPr>
        <w:t>f</w:t>
      </w:r>
      <w:r w:rsidR="003B0FA3" w:rsidRPr="003D4E19">
        <w:rPr>
          <w:rFonts w:ascii="Arial" w:eastAsia="Arial" w:hAnsi="Arial" w:cs="Arial"/>
          <w:spacing w:val="-1"/>
        </w:rPr>
        <w:t>ra</w:t>
      </w:r>
      <w:r w:rsidR="003B0FA3" w:rsidRPr="003D4E19">
        <w:rPr>
          <w:rFonts w:ascii="Arial" w:eastAsia="Arial" w:hAnsi="Arial" w:cs="Arial"/>
          <w:spacing w:val="2"/>
        </w:rPr>
        <w:t>m</w:t>
      </w:r>
      <w:r w:rsidR="003B0FA3" w:rsidRPr="003D4E19">
        <w:rPr>
          <w:rFonts w:ascii="Arial" w:eastAsia="Arial" w:hAnsi="Arial" w:cs="Arial"/>
          <w:spacing w:val="1"/>
        </w:rPr>
        <w:t>e</w:t>
      </w:r>
      <w:r w:rsidR="003B0FA3" w:rsidRPr="003D4E19">
        <w:rPr>
          <w:rFonts w:ascii="Arial" w:eastAsia="Arial" w:hAnsi="Arial" w:cs="Arial"/>
          <w:spacing w:val="-3"/>
        </w:rPr>
        <w:t>w</w:t>
      </w:r>
      <w:r w:rsidR="003B0FA3" w:rsidRPr="003D4E19">
        <w:rPr>
          <w:rFonts w:ascii="Arial" w:eastAsia="Arial" w:hAnsi="Arial" w:cs="Arial"/>
          <w:spacing w:val="1"/>
        </w:rPr>
        <w:t>o</w:t>
      </w:r>
      <w:r w:rsidR="003B0FA3" w:rsidRPr="003D4E19">
        <w:rPr>
          <w:rFonts w:ascii="Arial" w:eastAsia="Arial" w:hAnsi="Arial" w:cs="Arial"/>
          <w:spacing w:val="-1"/>
        </w:rPr>
        <w:t>r</w:t>
      </w:r>
      <w:r w:rsidR="003B0FA3" w:rsidRPr="003D4E19">
        <w:rPr>
          <w:rFonts w:ascii="Arial" w:eastAsia="Arial" w:hAnsi="Arial" w:cs="Arial"/>
        </w:rPr>
        <w:t>k</w:t>
      </w:r>
      <w:r w:rsidR="003B0FA3" w:rsidRPr="003D4E19">
        <w:rPr>
          <w:rFonts w:ascii="Arial" w:eastAsia="Arial" w:hAnsi="Arial" w:cs="Arial"/>
          <w:spacing w:val="1"/>
        </w:rPr>
        <w:t xml:space="preserve"> </w:t>
      </w:r>
      <w:r w:rsidR="003B0FA3" w:rsidRPr="003D4E19">
        <w:rPr>
          <w:rFonts w:ascii="Arial" w:eastAsia="Arial" w:hAnsi="Arial" w:cs="Arial"/>
          <w:spacing w:val="-1"/>
        </w:rPr>
        <w:t>wi</w:t>
      </w:r>
      <w:r w:rsidR="003B0FA3" w:rsidRPr="003D4E19">
        <w:rPr>
          <w:rFonts w:ascii="Arial" w:eastAsia="Arial" w:hAnsi="Arial" w:cs="Arial"/>
          <w:spacing w:val="1"/>
        </w:rPr>
        <w:t>th</w:t>
      </w:r>
      <w:r w:rsidR="003B0FA3" w:rsidRPr="003D4E19">
        <w:rPr>
          <w:rFonts w:ascii="Arial" w:eastAsia="Arial" w:hAnsi="Arial" w:cs="Arial"/>
          <w:spacing w:val="-1"/>
        </w:rPr>
        <w:t>i</w:t>
      </w:r>
      <w:r w:rsidR="003B0FA3" w:rsidRPr="003D4E19">
        <w:rPr>
          <w:rFonts w:ascii="Arial" w:eastAsia="Arial" w:hAnsi="Arial" w:cs="Arial"/>
        </w:rPr>
        <w:t>n</w:t>
      </w:r>
      <w:r w:rsidR="003B0FA3" w:rsidRPr="003D4E19">
        <w:rPr>
          <w:rFonts w:ascii="Arial" w:eastAsia="Arial" w:hAnsi="Arial" w:cs="Arial"/>
          <w:spacing w:val="2"/>
        </w:rPr>
        <w:t xml:space="preserve"> </w:t>
      </w:r>
      <w:r w:rsidR="003B0FA3" w:rsidRPr="003D4E19">
        <w:rPr>
          <w:rFonts w:ascii="Arial" w:eastAsia="Arial" w:hAnsi="Arial" w:cs="Arial"/>
        </w:rPr>
        <w:t>w</w:t>
      </w:r>
      <w:r w:rsidR="003B0FA3" w:rsidRPr="003D4E19">
        <w:rPr>
          <w:rFonts w:ascii="Arial" w:eastAsia="Arial" w:hAnsi="Arial" w:cs="Arial"/>
          <w:spacing w:val="1"/>
        </w:rPr>
        <w:t>h</w:t>
      </w:r>
      <w:r w:rsidR="003B0FA3" w:rsidRPr="003D4E19">
        <w:rPr>
          <w:rFonts w:ascii="Arial" w:eastAsia="Arial" w:hAnsi="Arial" w:cs="Arial"/>
          <w:spacing w:val="-1"/>
        </w:rPr>
        <w:t>i</w:t>
      </w:r>
      <w:r w:rsidR="003B0FA3" w:rsidRPr="003D4E19">
        <w:rPr>
          <w:rFonts w:ascii="Arial" w:eastAsia="Arial" w:hAnsi="Arial" w:cs="Arial"/>
        </w:rPr>
        <w:t>ch</w:t>
      </w:r>
      <w:r w:rsidR="003B0FA3" w:rsidRPr="003D4E19">
        <w:rPr>
          <w:rFonts w:ascii="Arial" w:eastAsia="Arial" w:hAnsi="Arial" w:cs="Arial"/>
          <w:spacing w:val="-1"/>
        </w:rPr>
        <w:t xml:space="preserve"> </w:t>
      </w:r>
      <w:r w:rsidR="003B0FA3" w:rsidRPr="003D4E19">
        <w:rPr>
          <w:rFonts w:ascii="Arial" w:eastAsia="Arial" w:hAnsi="Arial" w:cs="Arial"/>
          <w:spacing w:val="1"/>
        </w:rPr>
        <w:t>pub</w:t>
      </w:r>
      <w:r w:rsidR="003B0FA3" w:rsidRPr="003D4E19">
        <w:rPr>
          <w:rFonts w:ascii="Arial" w:eastAsia="Arial" w:hAnsi="Arial" w:cs="Arial"/>
          <w:spacing w:val="-1"/>
        </w:rPr>
        <w:t>li</w:t>
      </w:r>
      <w:r w:rsidR="003B0FA3" w:rsidRPr="003D4E19">
        <w:rPr>
          <w:rFonts w:ascii="Arial" w:eastAsia="Arial" w:hAnsi="Arial" w:cs="Arial"/>
        </w:rPr>
        <w:t xml:space="preserve">c </w:t>
      </w:r>
      <w:r w:rsidR="003B0FA3" w:rsidRPr="003D4E19">
        <w:rPr>
          <w:rFonts w:ascii="Arial" w:eastAsia="Arial" w:hAnsi="Arial" w:cs="Arial"/>
          <w:spacing w:val="1"/>
        </w:rPr>
        <w:t>au</w:t>
      </w:r>
      <w:r w:rsidR="003B0FA3" w:rsidRPr="003D4E19">
        <w:rPr>
          <w:rFonts w:ascii="Arial" w:eastAsia="Arial" w:hAnsi="Arial" w:cs="Arial"/>
        </w:rPr>
        <w:t>t</w:t>
      </w:r>
      <w:r w:rsidR="003B0FA3" w:rsidRPr="003D4E19">
        <w:rPr>
          <w:rFonts w:ascii="Arial" w:eastAsia="Arial" w:hAnsi="Arial" w:cs="Arial"/>
          <w:spacing w:val="-1"/>
        </w:rPr>
        <w:t>h</w:t>
      </w:r>
      <w:r w:rsidR="003B0FA3" w:rsidRPr="003D4E19">
        <w:rPr>
          <w:rFonts w:ascii="Arial" w:eastAsia="Arial" w:hAnsi="Arial" w:cs="Arial"/>
          <w:spacing w:val="1"/>
        </w:rPr>
        <w:t>o</w:t>
      </w:r>
      <w:r w:rsidR="003B0FA3" w:rsidRPr="003D4E19">
        <w:rPr>
          <w:rFonts w:ascii="Arial" w:eastAsia="Arial" w:hAnsi="Arial" w:cs="Arial"/>
          <w:spacing w:val="-1"/>
        </w:rPr>
        <w:t>ri</w:t>
      </w:r>
      <w:r w:rsidR="003B0FA3" w:rsidRPr="003D4E19">
        <w:rPr>
          <w:rFonts w:ascii="Arial" w:eastAsia="Arial" w:hAnsi="Arial" w:cs="Arial"/>
          <w:spacing w:val="1"/>
        </w:rPr>
        <w:t>t</w:t>
      </w:r>
      <w:r w:rsidR="003B0FA3" w:rsidRPr="003D4E19">
        <w:rPr>
          <w:rFonts w:ascii="Arial" w:eastAsia="Arial" w:hAnsi="Arial" w:cs="Arial"/>
          <w:spacing w:val="-1"/>
        </w:rPr>
        <w:t>i</w:t>
      </w:r>
      <w:r w:rsidR="003B0FA3" w:rsidRPr="003D4E19">
        <w:rPr>
          <w:rFonts w:ascii="Arial" w:eastAsia="Arial" w:hAnsi="Arial" w:cs="Arial"/>
          <w:spacing w:val="1"/>
        </w:rPr>
        <w:t>e</w:t>
      </w:r>
      <w:r w:rsidR="003B0FA3" w:rsidRPr="003D4E19">
        <w:rPr>
          <w:rFonts w:ascii="Arial" w:eastAsia="Arial" w:hAnsi="Arial" w:cs="Arial"/>
        </w:rPr>
        <w:t>s</w:t>
      </w:r>
      <w:r w:rsidR="003B0FA3" w:rsidRPr="003D4E19">
        <w:rPr>
          <w:rFonts w:ascii="Arial" w:eastAsia="Arial" w:hAnsi="Arial" w:cs="Arial"/>
          <w:spacing w:val="1"/>
        </w:rPr>
        <w:t xml:space="preserve"> </w:t>
      </w:r>
      <w:r w:rsidR="003B0FA3" w:rsidRPr="003D4E19">
        <w:rPr>
          <w:rFonts w:ascii="Arial" w:eastAsia="Arial" w:hAnsi="Arial" w:cs="Arial"/>
          <w:spacing w:val="-1"/>
        </w:rPr>
        <w:t>o</w:t>
      </w:r>
      <w:r w:rsidR="003B0FA3" w:rsidRPr="003D4E19">
        <w:rPr>
          <w:rFonts w:ascii="Arial" w:eastAsia="Arial" w:hAnsi="Arial" w:cs="Arial"/>
          <w:spacing w:val="1"/>
        </w:rPr>
        <w:t>pe</w:t>
      </w:r>
      <w:r w:rsidR="003B0FA3" w:rsidRPr="003D4E19">
        <w:rPr>
          <w:rFonts w:ascii="Arial" w:eastAsia="Arial" w:hAnsi="Arial" w:cs="Arial"/>
          <w:spacing w:val="-1"/>
        </w:rPr>
        <w:t>r</w:t>
      </w:r>
      <w:r w:rsidR="003B0FA3" w:rsidRPr="003D4E19">
        <w:rPr>
          <w:rFonts w:ascii="Arial" w:eastAsia="Arial" w:hAnsi="Arial" w:cs="Arial"/>
          <w:spacing w:val="1"/>
        </w:rPr>
        <w:t>a</w:t>
      </w:r>
      <w:r w:rsidR="003B0FA3" w:rsidRPr="003D4E19">
        <w:rPr>
          <w:rFonts w:ascii="Arial" w:eastAsia="Arial" w:hAnsi="Arial" w:cs="Arial"/>
          <w:spacing w:val="-2"/>
        </w:rPr>
        <w:t>t</w:t>
      </w:r>
      <w:r w:rsidR="003B0FA3" w:rsidRPr="003D4E19">
        <w:rPr>
          <w:rFonts w:ascii="Arial" w:eastAsia="Arial" w:hAnsi="Arial" w:cs="Arial"/>
        </w:rPr>
        <w:t>e</w:t>
      </w:r>
      <w:r w:rsidR="003B0FA3" w:rsidRPr="003D4E19">
        <w:rPr>
          <w:rFonts w:ascii="Arial" w:eastAsia="Arial" w:hAnsi="Arial" w:cs="Arial"/>
          <w:spacing w:val="2"/>
        </w:rPr>
        <w:t xml:space="preserve"> </w:t>
      </w:r>
      <w:r w:rsidR="003B0FA3" w:rsidRPr="003D4E19">
        <w:rPr>
          <w:rFonts w:ascii="Arial" w:eastAsia="Arial" w:hAnsi="Arial" w:cs="Arial"/>
          <w:spacing w:val="-1"/>
        </w:rPr>
        <w:t>h</w:t>
      </w:r>
      <w:r w:rsidR="003B0FA3" w:rsidRPr="003D4E19">
        <w:rPr>
          <w:rFonts w:ascii="Arial" w:eastAsia="Arial" w:hAnsi="Arial" w:cs="Arial"/>
          <w:spacing w:val="1"/>
        </w:rPr>
        <w:t>a</w:t>
      </w:r>
      <w:r w:rsidR="003B0FA3" w:rsidRPr="003D4E19">
        <w:rPr>
          <w:rFonts w:ascii="Arial" w:eastAsia="Arial" w:hAnsi="Arial" w:cs="Arial"/>
        </w:rPr>
        <w:t>s</w:t>
      </w:r>
      <w:r w:rsidR="003B0FA3" w:rsidRPr="003D4E19">
        <w:rPr>
          <w:rFonts w:ascii="Arial" w:eastAsia="Arial" w:hAnsi="Arial" w:cs="Arial"/>
          <w:spacing w:val="-2"/>
        </w:rPr>
        <w:t xml:space="preserve"> </w:t>
      </w:r>
      <w:r w:rsidR="003B0FA3" w:rsidRPr="003D4E19">
        <w:rPr>
          <w:rFonts w:ascii="Arial" w:eastAsia="Arial" w:hAnsi="Arial" w:cs="Arial"/>
          <w:spacing w:val="1"/>
        </w:rPr>
        <w:t>be</w:t>
      </w:r>
      <w:r w:rsidR="003B0FA3" w:rsidRPr="003D4E19">
        <w:rPr>
          <w:rFonts w:ascii="Arial" w:eastAsia="Arial" w:hAnsi="Arial" w:cs="Arial"/>
          <w:spacing w:val="-2"/>
        </w:rPr>
        <w:t>e</w:t>
      </w:r>
      <w:r w:rsidR="003B0FA3" w:rsidRPr="003D4E19">
        <w:rPr>
          <w:rFonts w:ascii="Arial" w:eastAsia="Arial" w:hAnsi="Arial" w:cs="Arial"/>
        </w:rPr>
        <w:t>n</w:t>
      </w:r>
      <w:r w:rsidR="003B0FA3" w:rsidRPr="003D4E19">
        <w:rPr>
          <w:rFonts w:ascii="Arial" w:eastAsia="Arial" w:hAnsi="Arial" w:cs="Arial"/>
          <w:spacing w:val="2"/>
        </w:rPr>
        <w:t xml:space="preserve"> </w:t>
      </w:r>
      <w:r w:rsidR="003B0FA3" w:rsidRPr="003D4E19">
        <w:rPr>
          <w:rFonts w:ascii="Arial" w:eastAsia="Arial" w:hAnsi="Arial" w:cs="Arial"/>
          <w:spacing w:val="-1"/>
        </w:rPr>
        <w:t>r</w:t>
      </w:r>
      <w:r w:rsidR="003B0FA3" w:rsidRPr="003D4E19">
        <w:rPr>
          <w:rFonts w:ascii="Arial" w:eastAsia="Arial" w:hAnsi="Arial" w:cs="Arial"/>
          <w:spacing w:val="1"/>
        </w:rPr>
        <w:t>e</w:t>
      </w:r>
      <w:r w:rsidR="003B0FA3" w:rsidRPr="003D4E19">
        <w:rPr>
          <w:rFonts w:ascii="Arial" w:eastAsia="Arial" w:hAnsi="Arial" w:cs="Arial"/>
          <w:spacing w:val="-2"/>
        </w:rPr>
        <w:t>n</w:t>
      </w:r>
      <w:r w:rsidR="003B0FA3" w:rsidRPr="003D4E19">
        <w:rPr>
          <w:rFonts w:ascii="Arial" w:eastAsia="Arial" w:hAnsi="Arial" w:cs="Arial"/>
          <w:spacing w:val="1"/>
        </w:rPr>
        <w:t>de</w:t>
      </w:r>
      <w:r w:rsidR="003B0FA3" w:rsidRPr="003D4E19">
        <w:rPr>
          <w:rFonts w:ascii="Arial" w:eastAsia="Arial" w:hAnsi="Arial" w:cs="Arial"/>
          <w:spacing w:val="-1"/>
        </w:rPr>
        <w:t>re</w:t>
      </w:r>
      <w:r w:rsidR="003B0FA3" w:rsidRPr="003D4E19">
        <w:rPr>
          <w:rFonts w:ascii="Arial" w:eastAsia="Arial" w:hAnsi="Arial" w:cs="Arial"/>
        </w:rPr>
        <w:t>d</w:t>
      </w:r>
      <w:r w:rsidR="003B0FA3" w:rsidRPr="003D4E19">
        <w:rPr>
          <w:rFonts w:ascii="Arial" w:eastAsia="Arial" w:hAnsi="Arial" w:cs="Arial"/>
          <w:spacing w:val="2"/>
        </w:rPr>
        <w:t xml:space="preserve"> </w:t>
      </w:r>
      <w:r w:rsidR="003B0FA3" w:rsidRPr="003D4E19">
        <w:rPr>
          <w:rFonts w:ascii="Arial" w:eastAsia="Arial" w:hAnsi="Arial" w:cs="Arial"/>
          <w:spacing w:val="-1"/>
        </w:rPr>
        <w:t>l</w:t>
      </w:r>
      <w:r w:rsidR="003B0FA3" w:rsidRPr="003D4E19">
        <w:rPr>
          <w:rFonts w:ascii="Arial" w:eastAsia="Arial" w:hAnsi="Arial" w:cs="Arial"/>
          <w:spacing w:val="1"/>
        </w:rPr>
        <w:t>e</w:t>
      </w:r>
      <w:r w:rsidR="003B0FA3" w:rsidRPr="003D4E19">
        <w:rPr>
          <w:rFonts w:ascii="Arial" w:eastAsia="Arial" w:hAnsi="Arial" w:cs="Arial"/>
        </w:rPr>
        <w:t>ss</w:t>
      </w:r>
      <w:r w:rsidR="003B0FA3" w:rsidRPr="003D4E19">
        <w:rPr>
          <w:rFonts w:ascii="Arial" w:eastAsia="Arial" w:hAnsi="Arial" w:cs="Arial"/>
          <w:spacing w:val="1"/>
        </w:rPr>
        <w:t xml:space="preserve"> </w:t>
      </w:r>
      <w:r w:rsidR="003B0FA3" w:rsidRPr="003D4E19">
        <w:rPr>
          <w:rFonts w:ascii="Arial" w:eastAsia="Arial" w:hAnsi="Arial" w:cs="Arial"/>
          <w:spacing w:val="-2"/>
        </w:rPr>
        <w:t>c</w:t>
      </w:r>
      <w:r w:rsidR="003B0FA3" w:rsidRPr="003D4E19">
        <w:rPr>
          <w:rFonts w:ascii="Arial" w:eastAsia="Arial" w:hAnsi="Arial" w:cs="Arial"/>
          <w:spacing w:val="-1"/>
        </w:rPr>
        <w:t>er</w:t>
      </w:r>
      <w:r w:rsidR="003B0FA3" w:rsidRPr="003D4E19">
        <w:rPr>
          <w:rFonts w:ascii="Arial" w:eastAsia="Arial" w:hAnsi="Arial" w:cs="Arial"/>
          <w:spacing w:val="1"/>
        </w:rPr>
        <w:t>ta</w:t>
      </w:r>
      <w:r w:rsidR="003B0FA3" w:rsidRPr="003D4E19">
        <w:rPr>
          <w:rFonts w:ascii="Arial" w:eastAsia="Arial" w:hAnsi="Arial" w:cs="Arial"/>
          <w:spacing w:val="-1"/>
        </w:rPr>
        <w:t>i</w:t>
      </w:r>
      <w:r w:rsidR="003B0FA3" w:rsidRPr="003D4E19">
        <w:rPr>
          <w:rFonts w:ascii="Arial" w:eastAsia="Arial" w:hAnsi="Arial" w:cs="Arial"/>
          <w:spacing w:val="1"/>
        </w:rPr>
        <w:t>n</w:t>
      </w:r>
      <w:r w:rsidR="003B0FA3" w:rsidRPr="003D4E19">
        <w:rPr>
          <w:rFonts w:ascii="Arial" w:eastAsia="Arial" w:hAnsi="Arial" w:cs="Arial"/>
        </w:rPr>
        <w:t>,</w:t>
      </w:r>
      <w:r w:rsidR="003B0FA3" w:rsidRPr="003D4E19">
        <w:rPr>
          <w:rFonts w:ascii="Arial" w:eastAsia="Arial" w:hAnsi="Arial" w:cs="Arial"/>
          <w:spacing w:val="1"/>
        </w:rPr>
        <w:t xml:space="preserve"> </w:t>
      </w:r>
      <w:r w:rsidR="003B0FA3" w:rsidRPr="003D4E19">
        <w:rPr>
          <w:rFonts w:ascii="Arial" w:eastAsia="Arial" w:hAnsi="Arial" w:cs="Arial"/>
          <w:spacing w:val="-1"/>
        </w:rPr>
        <w:t>a</w:t>
      </w:r>
      <w:r w:rsidR="003B0FA3" w:rsidRPr="003D4E19">
        <w:rPr>
          <w:rFonts w:ascii="Arial" w:eastAsia="Arial" w:hAnsi="Arial" w:cs="Arial"/>
          <w:spacing w:val="1"/>
        </w:rPr>
        <w:t>n</w:t>
      </w:r>
      <w:r w:rsidR="003B0FA3" w:rsidRPr="003D4E19">
        <w:rPr>
          <w:rFonts w:ascii="Arial" w:eastAsia="Arial" w:hAnsi="Arial" w:cs="Arial"/>
        </w:rPr>
        <w:t>d</w:t>
      </w:r>
      <w:r w:rsidR="003B0FA3" w:rsidRPr="003D4E19">
        <w:rPr>
          <w:rFonts w:ascii="Arial" w:eastAsia="Arial" w:hAnsi="Arial" w:cs="Arial"/>
          <w:spacing w:val="2"/>
        </w:rPr>
        <w:t xml:space="preserve"> </w:t>
      </w:r>
      <w:r w:rsidR="003B0FA3" w:rsidRPr="003D4E19">
        <w:rPr>
          <w:rFonts w:ascii="Arial" w:eastAsia="Arial" w:hAnsi="Arial" w:cs="Arial"/>
          <w:spacing w:val="-2"/>
        </w:rPr>
        <w:t>t</w:t>
      </w:r>
      <w:r w:rsidR="003B0FA3" w:rsidRPr="003D4E19">
        <w:rPr>
          <w:rFonts w:ascii="Arial" w:eastAsia="Arial" w:hAnsi="Arial" w:cs="Arial"/>
          <w:spacing w:val="1"/>
        </w:rPr>
        <w:t>he</w:t>
      </w:r>
      <w:r w:rsidR="003B0FA3" w:rsidRPr="003D4E19">
        <w:rPr>
          <w:rFonts w:ascii="Arial" w:eastAsia="Arial" w:hAnsi="Arial" w:cs="Arial"/>
        </w:rPr>
        <w:t>y</w:t>
      </w:r>
      <w:r w:rsidR="003B0FA3" w:rsidRPr="003D4E19">
        <w:rPr>
          <w:rFonts w:ascii="Arial" w:eastAsia="Arial" w:hAnsi="Arial" w:cs="Arial"/>
          <w:spacing w:val="-2"/>
        </w:rPr>
        <w:t xml:space="preserve"> </w:t>
      </w:r>
      <w:r w:rsidR="003B0FA3" w:rsidRPr="003D4E19">
        <w:rPr>
          <w:rFonts w:ascii="Arial" w:eastAsia="Arial" w:hAnsi="Arial" w:cs="Arial"/>
          <w:spacing w:val="1"/>
        </w:rPr>
        <w:t>a</w:t>
      </w:r>
      <w:r w:rsidR="003B0FA3" w:rsidRPr="003D4E19">
        <w:rPr>
          <w:rFonts w:ascii="Arial" w:eastAsia="Arial" w:hAnsi="Arial" w:cs="Arial"/>
          <w:spacing w:val="-1"/>
        </w:rPr>
        <w:t>r</w:t>
      </w:r>
      <w:r w:rsidR="003B0FA3" w:rsidRPr="003D4E19">
        <w:rPr>
          <w:rFonts w:ascii="Arial" w:eastAsia="Arial" w:hAnsi="Arial" w:cs="Arial"/>
        </w:rPr>
        <w:t>e</w:t>
      </w:r>
      <w:r w:rsidR="003B0FA3" w:rsidRPr="003D4E19">
        <w:rPr>
          <w:rFonts w:ascii="Arial" w:eastAsia="Arial" w:hAnsi="Arial" w:cs="Arial"/>
          <w:spacing w:val="-1"/>
        </w:rPr>
        <w:t xml:space="preserve"> </w:t>
      </w:r>
      <w:r w:rsidR="003B0FA3" w:rsidRPr="003D4E19">
        <w:rPr>
          <w:rFonts w:ascii="Arial" w:eastAsia="Arial" w:hAnsi="Arial" w:cs="Arial"/>
          <w:spacing w:val="2"/>
        </w:rPr>
        <w:t>m</w:t>
      </w:r>
      <w:r w:rsidR="003B0FA3" w:rsidRPr="003D4E19">
        <w:rPr>
          <w:rFonts w:ascii="Arial" w:eastAsia="Arial" w:hAnsi="Arial" w:cs="Arial"/>
          <w:spacing w:val="1"/>
        </w:rPr>
        <w:t>o</w:t>
      </w:r>
      <w:r w:rsidR="003B0FA3" w:rsidRPr="003D4E19">
        <w:rPr>
          <w:rFonts w:ascii="Arial" w:eastAsia="Arial" w:hAnsi="Arial" w:cs="Arial"/>
          <w:spacing w:val="-3"/>
        </w:rPr>
        <w:t>r</w:t>
      </w:r>
      <w:r w:rsidR="003B0FA3" w:rsidRPr="003D4E19">
        <w:rPr>
          <w:rFonts w:ascii="Arial" w:eastAsia="Arial" w:hAnsi="Arial" w:cs="Arial"/>
        </w:rPr>
        <w:t>e</w:t>
      </w:r>
      <w:r w:rsidR="003B0FA3" w:rsidRPr="003D4E19">
        <w:rPr>
          <w:rFonts w:ascii="Arial" w:eastAsia="Arial" w:hAnsi="Arial" w:cs="Arial"/>
          <w:spacing w:val="2"/>
        </w:rPr>
        <w:t xml:space="preserve"> </w:t>
      </w:r>
      <w:r w:rsidR="003B0FA3" w:rsidRPr="003D4E19">
        <w:rPr>
          <w:rFonts w:ascii="Arial" w:eastAsia="Arial" w:hAnsi="Arial" w:cs="Arial"/>
          <w:spacing w:val="-1"/>
        </w:rPr>
        <w:t>li</w:t>
      </w:r>
      <w:r w:rsidR="003B0FA3" w:rsidRPr="003D4E19">
        <w:rPr>
          <w:rFonts w:ascii="Arial" w:eastAsia="Arial" w:hAnsi="Arial" w:cs="Arial"/>
        </w:rPr>
        <w:t>k</w:t>
      </w:r>
      <w:r w:rsidR="003B0FA3" w:rsidRPr="003D4E19">
        <w:rPr>
          <w:rFonts w:ascii="Arial" w:eastAsia="Arial" w:hAnsi="Arial" w:cs="Arial"/>
          <w:spacing w:val="1"/>
        </w:rPr>
        <w:t>e</w:t>
      </w:r>
      <w:r w:rsidR="003B0FA3" w:rsidRPr="003D4E19">
        <w:rPr>
          <w:rFonts w:ascii="Arial" w:eastAsia="Arial" w:hAnsi="Arial" w:cs="Arial"/>
          <w:spacing w:val="-1"/>
        </w:rPr>
        <w:t>l</w:t>
      </w:r>
      <w:r w:rsidR="003B0FA3" w:rsidRPr="003D4E19">
        <w:rPr>
          <w:rFonts w:ascii="Arial" w:eastAsia="Arial" w:hAnsi="Arial" w:cs="Arial"/>
        </w:rPr>
        <w:t>y</w:t>
      </w:r>
      <w:r w:rsidR="003B0FA3" w:rsidRPr="003D4E19">
        <w:rPr>
          <w:rFonts w:ascii="Arial" w:eastAsia="Arial" w:hAnsi="Arial" w:cs="Arial"/>
          <w:spacing w:val="1"/>
        </w:rPr>
        <w:t xml:space="preserve"> t</w:t>
      </w:r>
      <w:r w:rsidR="003B0FA3" w:rsidRPr="003D4E19">
        <w:rPr>
          <w:rFonts w:ascii="Arial" w:eastAsia="Arial" w:hAnsi="Arial" w:cs="Arial"/>
        </w:rPr>
        <w:t>o</w:t>
      </w:r>
      <w:r w:rsidR="003B0FA3" w:rsidRPr="003D4E19">
        <w:rPr>
          <w:rFonts w:ascii="Arial" w:eastAsia="Arial" w:hAnsi="Arial" w:cs="Arial"/>
          <w:spacing w:val="-1"/>
        </w:rPr>
        <w:t xml:space="preserve"> </w:t>
      </w:r>
      <w:r w:rsidR="003B0FA3" w:rsidRPr="003D4E19">
        <w:rPr>
          <w:rFonts w:ascii="Arial" w:eastAsia="Arial" w:hAnsi="Arial" w:cs="Arial"/>
          <w:spacing w:val="1"/>
        </w:rPr>
        <w:t>f</w:t>
      </w:r>
      <w:r w:rsidR="003B0FA3" w:rsidRPr="003D4E19">
        <w:rPr>
          <w:rFonts w:ascii="Arial" w:eastAsia="Arial" w:hAnsi="Arial" w:cs="Arial"/>
          <w:spacing w:val="-1"/>
        </w:rPr>
        <w:t>i</w:t>
      </w:r>
      <w:r w:rsidR="003B0FA3" w:rsidRPr="003D4E19">
        <w:rPr>
          <w:rFonts w:ascii="Arial" w:eastAsia="Arial" w:hAnsi="Arial" w:cs="Arial"/>
          <w:spacing w:val="1"/>
        </w:rPr>
        <w:t>nd ope</w:t>
      </w:r>
      <w:r w:rsidR="003B0FA3" w:rsidRPr="003D4E19">
        <w:rPr>
          <w:rFonts w:ascii="Arial" w:eastAsia="Arial" w:hAnsi="Arial" w:cs="Arial"/>
          <w:spacing w:val="-1"/>
        </w:rPr>
        <w:t>r</w:t>
      </w:r>
      <w:r w:rsidR="003B0FA3" w:rsidRPr="003D4E19">
        <w:rPr>
          <w:rFonts w:ascii="Arial" w:eastAsia="Arial" w:hAnsi="Arial" w:cs="Arial"/>
          <w:spacing w:val="1"/>
        </w:rPr>
        <w:t>a</w:t>
      </w:r>
      <w:r w:rsidR="003B0FA3" w:rsidRPr="003D4E19">
        <w:rPr>
          <w:rFonts w:ascii="Arial" w:eastAsia="Arial" w:hAnsi="Arial" w:cs="Arial"/>
        </w:rPr>
        <w:t>t</w:t>
      </w:r>
      <w:r w:rsidR="003B0FA3" w:rsidRPr="003D4E19">
        <w:rPr>
          <w:rFonts w:ascii="Arial" w:eastAsia="Arial" w:hAnsi="Arial" w:cs="Arial"/>
          <w:spacing w:val="-3"/>
        </w:rPr>
        <w:t>i</w:t>
      </w:r>
      <w:r w:rsidR="003B0FA3" w:rsidRPr="003D4E19">
        <w:rPr>
          <w:rFonts w:ascii="Arial" w:eastAsia="Arial" w:hAnsi="Arial" w:cs="Arial"/>
          <w:spacing w:val="1"/>
        </w:rPr>
        <w:t>ona</w:t>
      </w:r>
      <w:r w:rsidR="003B0FA3" w:rsidRPr="003D4E19">
        <w:rPr>
          <w:rFonts w:ascii="Arial" w:eastAsia="Arial" w:hAnsi="Arial" w:cs="Arial"/>
        </w:rPr>
        <w:t>l</w:t>
      </w:r>
      <w:r w:rsidR="003B0FA3" w:rsidRPr="003D4E19">
        <w:rPr>
          <w:rFonts w:ascii="Arial" w:eastAsia="Arial" w:hAnsi="Arial" w:cs="Arial"/>
          <w:spacing w:val="-2"/>
        </w:rPr>
        <w:t xml:space="preserve"> </w:t>
      </w:r>
      <w:r w:rsidR="003B0FA3" w:rsidRPr="003D4E19">
        <w:rPr>
          <w:rFonts w:ascii="Arial" w:eastAsia="Arial" w:hAnsi="Arial" w:cs="Arial"/>
          <w:spacing w:val="1"/>
        </w:rPr>
        <w:t>de</w:t>
      </w:r>
      <w:r w:rsidR="003B0FA3" w:rsidRPr="003D4E19">
        <w:rPr>
          <w:rFonts w:ascii="Arial" w:eastAsia="Arial" w:hAnsi="Arial" w:cs="Arial"/>
        </w:rPr>
        <w:t>c</w:t>
      </w:r>
      <w:r w:rsidR="003B0FA3" w:rsidRPr="003D4E19">
        <w:rPr>
          <w:rFonts w:ascii="Arial" w:eastAsia="Arial" w:hAnsi="Arial" w:cs="Arial"/>
          <w:spacing w:val="-1"/>
        </w:rPr>
        <w:t>i</w:t>
      </w:r>
      <w:r w:rsidR="003B0FA3" w:rsidRPr="003D4E19">
        <w:rPr>
          <w:rFonts w:ascii="Arial" w:eastAsia="Arial" w:hAnsi="Arial" w:cs="Arial"/>
        </w:rPr>
        <w:t>s</w:t>
      </w:r>
      <w:r w:rsidR="003B0FA3" w:rsidRPr="003D4E19">
        <w:rPr>
          <w:rFonts w:ascii="Arial" w:eastAsia="Arial" w:hAnsi="Arial" w:cs="Arial"/>
          <w:spacing w:val="-1"/>
        </w:rPr>
        <w:t>i</w:t>
      </w:r>
      <w:r w:rsidR="003B0FA3" w:rsidRPr="003D4E19">
        <w:rPr>
          <w:rFonts w:ascii="Arial" w:eastAsia="Arial" w:hAnsi="Arial" w:cs="Arial"/>
          <w:spacing w:val="1"/>
        </w:rPr>
        <w:t>on</w:t>
      </w:r>
      <w:r w:rsidR="003B0FA3" w:rsidRPr="003D4E19">
        <w:rPr>
          <w:rFonts w:ascii="Arial" w:eastAsia="Arial" w:hAnsi="Arial" w:cs="Arial"/>
        </w:rPr>
        <w:t>s</w:t>
      </w:r>
      <w:r w:rsidR="003B0FA3" w:rsidRPr="003D4E19">
        <w:rPr>
          <w:rFonts w:ascii="Arial" w:eastAsia="Arial" w:hAnsi="Arial" w:cs="Arial"/>
          <w:spacing w:val="-2"/>
        </w:rPr>
        <w:t xml:space="preserve"> c</w:t>
      </w:r>
      <w:r w:rsidR="003B0FA3" w:rsidRPr="003D4E19">
        <w:rPr>
          <w:rFonts w:ascii="Arial" w:eastAsia="Arial" w:hAnsi="Arial" w:cs="Arial"/>
          <w:spacing w:val="1"/>
        </w:rPr>
        <w:t>ha</w:t>
      </w:r>
      <w:r w:rsidR="003B0FA3" w:rsidRPr="003D4E19">
        <w:rPr>
          <w:rFonts w:ascii="Arial" w:eastAsia="Arial" w:hAnsi="Arial" w:cs="Arial"/>
          <w:spacing w:val="-1"/>
        </w:rPr>
        <w:t>l</w:t>
      </w:r>
      <w:r w:rsidR="003B0FA3" w:rsidRPr="003D4E19">
        <w:rPr>
          <w:rFonts w:ascii="Arial" w:eastAsia="Arial" w:hAnsi="Arial" w:cs="Arial"/>
        </w:rPr>
        <w:t>l</w:t>
      </w:r>
      <w:r w:rsidR="003B0FA3" w:rsidRPr="003D4E19">
        <w:rPr>
          <w:rFonts w:ascii="Arial" w:eastAsia="Arial" w:hAnsi="Arial" w:cs="Arial"/>
          <w:spacing w:val="1"/>
        </w:rPr>
        <w:t>en</w:t>
      </w:r>
      <w:r w:rsidR="003B0FA3" w:rsidRPr="003D4E19">
        <w:rPr>
          <w:rFonts w:ascii="Arial" w:eastAsia="Arial" w:hAnsi="Arial" w:cs="Arial"/>
          <w:spacing w:val="-2"/>
        </w:rPr>
        <w:t>g</w:t>
      </w:r>
      <w:r w:rsidR="003B0FA3" w:rsidRPr="003D4E19">
        <w:rPr>
          <w:rFonts w:ascii="Arial" w:eastAsia="Arial" w:hAnsi="Arial" w:cs="Arial"/>
          <w:spacing w:val="1"/>
        </w:rPr>
        <w:t>e</w:t>
      </w:r>
      <w:r w:rsidR="003B0FA3" w:rsidRPr="003D4E19">
        <w:rPr>
          <w:rFonts w:ascii="Arial" w:eastAsia="Arial" w:hAnsi="Arial" w:cs="Arial"/>
        </w:rPr>
        <w:t>d</w:t>
      </w:r>
      <w:r w:rsidR="003B0FA3" w:rsidRPr="003D4E19">
        <w:rPr>
          <w:rFonts w:ascii="Arial" w:eastAsia="Arial" w:hAnsi="Arial" w:cs="Arial"/>
          <w:spacing w:val="-1"/>
        </w:rPr>
        <w:t xml:space="preserve"> </w:t>
      </w:r>
      <w:r w:rsidR="003B0FA3" w:rsidRPr="003D4E19">
        <w:rPr>
          <w:rFonts w:ascii="Arial" w:eastAsia="Arial" w:hAnsi="Arial" w:cs="Arial"/>
          <w:spacing w:val="1"/>
        </w:rPr>
        <w:t>a</w:t>
      </w:r>
      <w:r w:rsidR="003B0FA3" w:rsidRPr="003D4E19">
        <w:rPr>
          <w:rFonts w:ascii="Arial" w:eastAsia="Arial" w:hAnsi="Arial" w:cs="Arial"/>
          <w:spacing w:val="-2"/>
        </w:rPr>
        <w:t>n</w:t>
      </w:r>
      <w:r w:rsidR="003B0FA3" w:rsidRPr="003D4E19">
        <w:rPr>
          <w:rFonts w:ascii="Arial" w:eastAsia="Arial" w:hAnsi="Arial" w:cs="Arial"/>
        </w:rPr>
        <w:t>d</w:t>
      </w:r>
      <w:r w:rsidR="003B0FA3" w:rsidRPr="003D4E19">
        <w:rPr>
          <w:rFonts w:ascii="Arial" w:eastAsia="Arial" w:hAnsi="Arial" w:cs="Arial"/>
          <w:spacing w:val="2"/>
        </w:rPr>
        <w:t xml:space="preserve"> </w:t>
      </w:r>
      <w:r w:rsidR="003B0FA3" w:rsidRPr="003D4E19">
        <w:rPr>
          <w:rFonts w:ascii="Arial" w:eastAsia="Arial" w:hAnsi="Arial" w:cs="Arial"/>
          <w:spacing w:val="1"/>
        </w:rPr>
        <w:t>t</w:t>
      </w:r>
      <w:r w:rsidR="003B0FA3" w:rsidRPr="003D4E19">
        <w:rPr>
          <w:rFonts w:ascii="Arial" w:eastAsia="Arial" w:hAnsi="Arial" w:cs="Arial"/>
        </w:rPr>
        <w:t>o</w:t>
      </w:r>
      <w:r w:rsidR="003B0FA3" w:rsidRPr="003D4E19">
        <w:rPr>
          <w:rFonts w:ascii="Arial" w:eastAsia="Arial" w:hAnsi="Arial" w:cs="Arial"/>
          <w:spacing w:val="-1"/>
        </w:rPr>
        <w:t xml:space="preserve"> </w:t>
      </w:r>
      <w:r w:rsidR="003B0FA3" w:rsidRPr="003D4E19">
        <w:rPr>
          <w:rFonts w:ascii="Arial" w:eastAsia="Arial" w:hAnsi="Arial" w:cs="Arial"/>
          <w:spacing w:val="1"/>
        </w:rPr>
        <w:t>ha</w:t>
      </w:r>
      <w:r w:rsidR="003B0FA3" w:rsidRPr="003D4E19">
        <w:rPr>
          <w:rFonts w:ascii="Arial" w:eastAsia="Arial" w:hAnsi="Arial" w:cs="Arial"/>
          <w:spacing w:val="-2"/>
        </w:rPr>
        <w:t>v</w:t>
      </w:r>
      <w:r w:rsidR="003B0FA3" w:rsidRPr="003D4E19">
        <w:rPr>
          <w:rFonts w:ascii="Arial" w:eastAsia="Arial" w:hAnsi="Arial" w:cs="Arial"/>
        </w:rPr>
        <w:t>e</w:t>
      </w:r>
      <w:r w:rsidR="003B0FA3" w:rsidRPr="003D4E19">
        <w:rPr>
          <w:rFonts w:ascii="Arial" w:eastAsia="Arial" w:hAnsi="Arial" w:cs="Arial"/>
          <w:spacing w:val="-1"/>
        </w:rPr>
        <w:t xml:space="preserve"> </w:t>
      </w:r>
      <w:r w:rsidR="003B0FA3" w:rsidRPr="003D4E19">
        <w:rPr>
          <w:rFonts w:ascii="Arial" w:eastAsia="Arial" w:hAnsi="Arial" w:cs="Arial"/>
        </w:rPr>
        <w:t>a</w:t>
      </w:r>
      <w:r w:rsidR="003B0FA3" w:rsidRPr="003D4E19">
        <w:rPr>
          <w:rFonts w:ascii="Arial" w:eastAsia="Arial" w:hAnsi="Arial" w:cs="Arial"/>
          <w:spacing w:val="2"/>
        </w:rPr>
        <w:t xml:space="preserve"> </w:t>
      </w:r>
      <w:r w:rsidR="003B0FA3" w:rsidRPr="003D4E19">
        <w:rPr>
          <w:rFonts w:ascii="Arial" w:eastAsia="Arial" w:hAnsi="Arial" w:cs="Arial"/>
        </w:rPr>
        <w:t>c</w:t>
      </w:r>
      <w:r w:rsidR="003B0FA3" w:rsidRPr="003D4E19">
        <w:rPr>
          <w:rFonts w:ascii="Arial" w:eastAsia="Arial" w:hAnsi="Arial" w:cs="Arial"/>
          <w:spacing w:val="1"/>
        </w:rPr>
        <w:t>ou</w:t>
      </w:r>
      <w:r w:rsidR="003B0FA3" w:rsidRPr="003D4E19">
        <w:rPr>
          <w:rFonts w:ascii="Arial" w:eastAsia="Arial" w:hAnsi="Arial" w:cs="Arial"/>
          <w:spacing w:val="-1"/>
        </w:rPr>
        <w:t>r</w:t>
      </w:r>
      <w:r w:rsidR="003B0FA3" w:rsidRPr="003D4E19">
        <w:rPr>
          <w:rFonts w:ascii="Arial" w:eastAsia="Arial" w:hAnsi="Arial" w:cs="Arial"/>
        </w:rPr>
        <w:t>t</w:t>
      </w:r>
      <w:r w:rsidR="003B0FA3" w:rsidRPr="003D4E19">
        <w:rPr>
          <w:rFonts w:ascii="Arial" w:eastAsia="Arial" w:hAnsi="Arial" w:cs="Arial"/>
          <w:spacing w:val="1"/>
        </w:rPr>
        <w:t xml:space="preserve"> </w:t>
      </w:r>
      <w:r w:rsidR="003B0FA3" w:rsidRPr="003D4E19">
        <w:rPr>
          <w:rFonts w:ascii="Arial" w:eastAsia="Arial" w:hAnsi="Arial" w:cs="Arial"/>
          <w:spacing w:val="-3"/>
        </w:rPr>
        <w:t>r</w:t>
      </w:r>
      <w:r w:rsidR="003B0FA3" w:rsidRPr="003D4E19">
        <w:rPr>
          <w:rFonts w:ascii="Arial" w:eastAsia="Arial" w:hAnsi="Arial" w:cs="Arial"/>
          <w:spacing w:val="1"/>
        </w:rPr>
        <w:t>e</w:t>
      </w:r>
      <w:r w:rsidR="003B0FA3" w:rsidRPr="003D4E19">
        <w:rPr>
          <w:rFonts w:ascii="Arial" w:eastAsia="Arial" w:hAnsi="Arial" w:cs="Arial"/>
        </w:rPr>
        <w:t>t</w:t>
      </w:r>
      <w:r w:rsidR="003B0FA3" w:rsidRPr="003D4E19">
        <w:rPr>
          <w:rFonts w:ascii="Arial" w:eastAsia="Arial" w:hAnsi="Arial" w:cs="Arial"/>
          <w:spacing w:val="-1"/>
        </w:rPr>
        <w:t>r</w:t>
      </w:r>
      <w:r w:rsidR="003B0FA3" w:rsidRPr="003D4E19">
        <w:rPr>
          <w:rFonts w:ascii="Arial" w:eastAsia="Arial" w:hAnsi="Arial" w:cs="Arial"/>
          <w:spacing w:val="1"/>
        </w:rPr>
        <w:t>o</w:t>
      </w:r>
      <w:r w:rsidR="003B0FA3" w:rsidRPr="003D4E19">
        <w:rPr>
          <w:rFonts w:ascii="Arial" w:eastAsia="Arial" w:hAnsi="Arial" w:cs="Arial"/>
        </w:rPr>
        <w:t>s</w:t>
      </w:r>
      <w:r w:rsidR="003B0FA3" w:rsidRPr="003D4E19">
        <w:rPr>
          <w:rFonts w:ascii="Arial" w:eastAsia="Arial" w:hAnsi="Arial" w:cs="Arial"/>
          <w:spacing w:val="-1"/>
        </w:rPr>
        <w:t>p</w:t>
      </w:r>
      <w:r w:rsidR="003B0FA3" w:rsidRPr="003D4E19">
        <w:rPr>
          <w:rFonts w:ascii="Arial" w:eastAsia="Arial" w:hAnsi="Arial" w:cs="Arial"/>
          <w:spacing w:val="1"/>
        </w:rPr>
        <w:t>e</w:t>
      </w:r>
      <w:r w:rsidR="003B0FA3" w:rsidRPr="003D4E19">
        <w:rPr>
          <w:rFonts w:ascii="Arial" w:eastAsia="Arial" w:hAnsi="Arial" w:cs="Arial"/>
        </w:rPr>
        <w:t>c</w:t>
      </w:r>
      <w:r w:rsidR="003B0FA3" w:rsidRPr="003D4E19">
        <w:rPr>
          <w:rFonts w:ascii="Arial" w:eastAsia="Arial" w:hAnsi="Arial" w:cs="Arial"/>
          <w:spacing w:val="1"/>
        </w:rPr>
        <w:t>t</w:t>
      </w:r>
      <w:r w:rsidR="003B0FA3" w:rsidRPr="003D4E19">
        <w:rPr>
          <w:rFonts w:ascii="Arial" w:eastAsia="Arial" w:hAnsi="Arial" w:cs="Arial"/>
          <w:spacing w:val="-1"/>
        </w:rPr>
        <w:t>i</w:t>
      </w:r>
      <w:r w:rsidR="003B0FA3" w:rsidRPr="003D4E19">
        <w:rPr>
          <w:rFonts w:ascii="Arial" w:eastAsia="Arial" w:hAnsi="Arial" w:cs="Arial"/>
        </w:rPr>
        <w:t>v</w:t>
      </w:r>
      <w:r w:rsidR="003B0FA3" w:rsidRPr="003D4E19">
        <w:rPr>
          <w:rFonts w:ascii="Arial" w:eastAsia="Arial" w:hAnsi="Arial" w:cs="Arial"/>
          <w:spacing w:val="1"/>
        </w:rPr>
        <w:t>e</w:t>
      </w:r>
      <w:r w:rsidR="003B0FA3" w:rsidRPr="003D4E19">
        <w:rPr>
          <w:rFonts w:ascii="Arial" w:eastAsia="Arial" w:hAnsi="Arial" w:cs="Arial"/>
          <w:spacing w:val="-1"/>
        </w:rPr>
        <w:t>l</w:t>
      </w:r>
      <w:r w:rsidR="003B0FA3" w:rsidRPr="003D4E19">
        <w:rPr>
          <w:rFonts w:ascii="Arial" w:eastAsia="Arial" w:hAnsi="Arial" w:cs="Arial"/>
        </w:rPr>
        <w:t>y</w:t>
      </w:r>
      <w:r w:rsidR="003B0FA3" w:rsidRPr="003D4E19">
        <w:rPr>
          <w:rFonts w:ascii="Arial" w:eastAsia="Arial" w:hAnsi="Arial" w:cs="Arial"/>
          <w:spacing w:val="-2"/>
        </w:rPr>
        <w:t xml:space="preserve"> </w:t>
      </w:r>
      <w:r w:rsidR="003B0FA3" w:rsidRPr="003D4E19">
        <w:rPr>
          <w:rFonts w:ascii="Arial" w:eastAsia="Arial" w:hAnsi="Arial" w:cs="Arial"/>
        </w:rPr>
        <w:t>s</w:t>
      </w:r>
      <w:r w:rsidR="003B0FA3" w:rsidRPr="003D4E19">
        <w:rPr>
          <w:rFonts w:ascii="Arial" w:eastAsia="Arial" w:hAnsi="Arial" w:cs="Arial"/>
          <w:spacing w:val="1"/>
        </w:rPr>
        <w:t>e</w:t>
      </w:r>
      <w:r w:rsidR="003B0FA3" w:rsidRPr="003D4E19">
        <w:rPr>
          <w:rFonts w:ascii="Arial" w:eastAsia="Arial" w:hAnsi="Arial" w:cs="Arial"/>
        </w:rPr>
        <w:t>c</w:t>
      </w:r>
      <w:r w:rsidR="003B0FA3" w:rsidRPr="003D4E19">
        <w:rPr>
          <w:rFonts w:ascii="Arial" w:eastAsia="Arial" w:hAnsi="Arial" w:cs="Arial"/>
          <w:spacing w:val="1"/>
        </w:rPr>
        <w:t>o</w:t>
      </w:r>
      <w:r w:rsidR="003B0FA3" w:rsidRPr="003D4E19">
        <w:rPr>
          <w:rFonts w:ascii="Arial" w:eastAsia="Arial" w:hAnsi="Arial" w:cs="Arial"/>
          <w:spacing w:val="-1"/>
        </w:rPr>
        <w:t>n</w:t>
      </w:r>
      <w:r w:rsidR="003B0FA3" w:rsidRPr="003D4E19">
        <w:rPr>
          <w:rFonts w:ascii="Arial" w:eastAsia="Arial" w:hAnsi="Arial" w:cs="Arial"/>
          <w:spacing w:val="1"/>
        </w:rPr>
        <w:t>d</w:t>
      </w:r>
      <w:r w:rsidR="003B0FA3" w:rsidRPr="003D4E19">
        <w:rPr>
          <w:rFonts w:ascii="Arial" w:eastAsia="Arial" w:hAnsi="Arial" w:cs="Arial"/>
          <w:spacing w:val="-1"/>
        </w:rPr>
        <w:t>-</w:t>
      </w:r>
      <w:r w:rsidR="003B0FA3" w:rsidRPr="003D4E19">
        <w:rPr>
          <w:rFonts w:ascii="Arial" w:eastAsia="Arial" w:hAnsi="Arial" w:cs="Arial"/>
          <w:spacing w:val="1"/>
        </w:rPr>
        <w:t>gue</w:t>
      </w:r>
      <w:r w:rsidR="003B0FA3" w:rsidRPr="003D4E19">
        <w:rPr>
          <w:rFonts w:ascii="Arial" w:eastAsia="Arial" w:hAnsi="Arial" w:cs="Arial"/>
        </w:rPr>
        <w:t xml:space="preserve">ss </w:t>
      </w:r>
      <w:r w:rsidR="003B0FA3" w:rsidRPr="003D4E19">
        <w:rPr>
          <w:rFonts w:ascii="Arial" w:eastAsia="Arial" w:hAnsi="Arial" w:cs="Arial"/>
          <w:spacing w:val="1"/>
        </w:rPr>
        <w:t>the</w:t>
      </w:r>
      <w:r w:rsidR="003B0FA3" w:rsidRPr="003D4E19">
        <w:rPr>
          <w:rFonts w:ascii="Arial" w:eastAsia="Arial" w:hAnsi="Arial" w:cs="Arial"/>
          <w:spacing w:val="-1"/>
        </w:rPr>
        <w:t>i</w:t>
      </w:r>
      <w:r w:rsidR="003B0FA3" w:rsidRPr="003D4E19">
        <w:rPr>
          <w:rFonts w:ascii="Arial" w:eastAsia="Arial" w:hAnsi="Arial" w:cs="Arial"/>
        </w:rPr>
        <w:t xml:space="preserve">r </w:t>
      </w:r>
      <w:r w:rsidR="003B0FA3" w:rsidRPr="003D4E19">
        <w:rPr>
          <w:rFonts w:ascii="Arial" w:eastAsia="Arial" w:hAnsi="Arial" w:cs="Arial"/>
          <w:spacing w:val="1"/>
        </w:rPr>
        <w:t>p</w:t>
      </w:r>
      <w:r w:rsidR="003B0FA3" w:rsidRPr="003D4E19">
        <w:rPr>
          <w:rFonts w:ascii="Arial" w:eastAsia="Arial" w:hAnsi="Arial" w:cs="Arial"/>
          <w:spacing w:val="-1"/>
        </w:rPr>
        <w:t>r</w:t>
      </w:r>
      <w:r w:rsidR="003B0FA3" w:rsidRPr="003D4E19">
        <w:rPr>
          <w:rFonts w:ascii="Arial" w:eastAsia="Arial" w:hAnsi="Arial" w:cs="Arial"/>
          <w:spacing w:val="1"/>
        </w:rPr>
        <w:t>o</w:t>
      </w:r>
      <w:r w:rsidR="003B0FA3" w:rsidRPr="003D4E19">
        <w:rPr>
          <w:rFonts w:ascii="Arial" w:eastAsia="Arial" w:hAnsi="Arial" w:cs="Arial"/>
          <w:spacing w:val="-2"/>
        </w:rPr>
        <w:t>f</w:t>
      </w:r>
      <w:r w:rsidR="003B0FA3" w:rsidRPr="003D4E19">
        <w:rPr>
          <w:rFonts w:ascii="Arial" w:eastAsia="Arial" w:hAnsi="Arial" w:cs="Arial"/>
          <w:spacing w:val="1"/>
        </w:rPr>
        <w:t>e</w:t>
      </w:r>
      <w:r w:rsidR="003B0FA3" w:rsidRPr="003D4E19">
        <w:rPr>
          <w:rFonts w:ascii="Arial" w:eastAsia="Arial" w:hAnsi="Arial" w:cs="Arial"/>
        </w:rPr>
        <w:t>ss</w:t>
      </w:r>
      <w:r w:rsidR="003B0FA3" w:rsidRPr="003D4E19">
        <w:rPr>
          <w:rFonts w:ascii="Arial" w:eastAsia="Arial" w:hAnsi="Arial" w:cs="Arial"/>
          <w:spacing w:val="-1"/>
        </w:rPr>
        <w:t>i</w:t>
      </w:r>
      <w:r w:rsidR="003B0FA3" w:rsidRPr="003D4E19">
        <w:rPr>
          <w:rFonts w:ascii="Arial" w:eastAsia="Arial" w:hAnsi="Arial" w:cs="Arial"/>
          <w:spacing w:val="1"/>
        </w:rPr>
        <w:t>o</w:t>
      </w:r>
      <w:r w:rsidR="003B0FA3" w:rsidRPr="003D4E19">
        <w:rPr>
          <w:rFonts w:ascii="Arial" w:eastAsia="Arial" w:hAnsi="Arial" w:cs="Arial"/>
          <w:spacing w:val="-2"/>
        </w:rPr>
        <w:t>n</w:t>
      </w:r>
      <w:r w:rsidR="003B0FA3" w:rsidRPr="003D4E19">
        <w:rPr>
          <w:rFonts w:ascii="Arial" w:eastAsia="Arial" w:hAnsi="Arial" w:cs="Arial"/>
          <w:spacing w:val="1"/>
        </w:rPr>
        <w:t>a</w:t>
      </w:r>
      <w:r w:rsidR="003B0FA3" w:rsidRPr="003D4E19">
        <w:rPr>
          <w:rFonts w:ascii="Arial" w:eastAsia="Arial" w:hAnsi="Arial" w:cs="Arial"/>
        </w:rPr>
        <w:t xml:space="preserve">l </w:t>
      </w:r>
      <w:r w:rsidR="003B0FA3" w:rsidRPr="003D4E19">
        <w:rPr>
          <w:rFonts w:ascii="Arial" w:eastAsia="Arial" w:hAnsi="Arial" w:cs="Arial"/>
          <w:spacing w:val="-1"/>
        </w:rPr>
        <w:t>j</w:t>
      </w:r>
      <w:r w:rsidR="003B0FA3" w:rsidRPr="003D4E19">
        <w:rPr>
          <w:rFonts w:ascii="Arial" w:eastAsia="Arial" w:hAnsi="Arial" w:cs="Arial"/>
          <w:spacing w:val="1"/>
        </w:rPr>
        <w:t>u</w:t>
      </w:r>
      <w:r w:rsidR="003B0FA3" w:rsidRPr="003D4E19">
        <w:rPr>
          <w:rFonts w:ascii="Arial" w:eastAsia="Arial" w:hAnsi="Arial" w:cs="Arial"/>
          <w:spacing w:val="-1"/>
        </w:rPr>
        <w:t>d</w:t>
      </w:r>
      <w:r w:rsidR="003B0FA3" w:rsidRPr="003D4E19">
        <w:rPr>
          <w:rFonts w:ascii="Arial" w:eastAsia="Arial" w:hAnsi="Arial" w:cs="Arial"/>
          <w:spacing w:val="-2"/>
        </w:rPr>
        <w:t>g</w:t>
      </w:r>
      <w:r w:rsidR="003B0FA3" w:rsidRPr="003D4E19">
        <w:rPr>
          <w:rFonts w:ascii="Arial" w:eastAsia="Arial" w:hAnsi="Arial" w:cs="Arial"/>
          <w:spacing w:val="1"/>
        </w:rPr>
        <w:t>e</w:t>
      </w:r>
      <w:r w:rsidR="003B0FA3" w:rsidRPr="003D4E19">
        <w:rPr>
          <w:rFonts w:ascii="Arial" w:eastAsia="Arial" w:hAnsi="Arial" w:cs="Arial"/>
          <w:spacing w:val="2"/>
        </w:rPr>
        <w:t>m</w:t>
      </w:r>
      <w:r w:rsidR="003B0FA3" w:rsidRPr="003D4E19">
        <w:rPr>
          <w:rFonts w:ascii="Arial" w:eastAsia="Arial" w:hAnsi="Arial" w:cs="Arial"/>
          <w:spacing w:val="-1"/>
        </w:rPr>
        <w:t>e</w:t>
      </w:r>
      <w:r w:rsidR="003B0FA3" w:rsidRPr="003D4E19">
        <w:rPr>
          <w:rFonts w:ascii="Arial" w:eastAsia="Arial" w:hAnsi="Arial" w:cs="Arial"/>
          <w:spacing w:val="1"/>
        </w:rPr>
        <w:t>n</w:t>
      </w:r>
      <w:r w:rsidR="003B0FA3" w:rsidRPr="003D4E19">
        <w:rPr>
          <w:rFonts w:ascii="Arial" w:eastAsia="Arial" w:hAnsi="Arial" w:cs="Arial"/>
        </w:rPr>
        <w:t>t</w:t>
      </w:r>
      <w:r w:rsidR="003B0FA3" w:rsidRPr="003D4E19">
        <w:rPr>
          <w:rFonts w:ascii="Arial" w:eastAsia="Arial" w:hAnsi="Arial" w:cs="Arial"/>
          <w:spacing w:val="-1"/>
        </w:rPr>
        <w:t xml:space="preserve"> </w:t>
      </w:r>
      <w:r w:rsidR="003B0FA3" w:rsidRPr="003D4E19">
        <w:rPr>
          <w:rFonts w:ascii="Arial" w:eastAsia="Arial" w:hAnsi="Arial" w:cs="Arial"/>
          <w:spacing w:val="1"/>
        </w:rPr>
        <w:t>e</w:t>
      </w:r>
      <w:r w:rsidR="003B0FA3" w:rsidRPr="003D4E19">
        <w:rPr>
          <w:rFonts w:ascii="Arial" w:eastAsia="Arial" w:hAnsi="Arial" w:cs="Arial"/>
        </w:rPr>
        <w:t>x</w:t>
      </w:r>
      <w:r w:rsidR="003B0FA3" w:rsidRPr="003D4E19">
        <w:rPr>
          <w:rFonts w:ascii="Arial" w:eastAsia="Arial" w:hAnsi="Arial" w:cs="Arial"/>
          <w:spacing w:val="1"/>
        </w:rPr>
        <w:t>e</w:t>
      </w:r>
      <w:r w:rsidR="003B0FA3" w:rsidRPr="003D4E19">
        <w:rPr>
          <w:rFonts w:ascii="Arial" w:eastAsia="Arial" w:hAnsi="Arial" w:cs="Arial"/>
          <w:spacing w:val="-1"/>
        </w:rPr>
        <w:t>r</w:t>
      </w:r>
      <w:r w:rsidR="003B0FA3" w:rsidRPr="003D4E19">
        <w:rPr>
          <w:rFonts w:ascii="Arial" w:eastAsia="Arial" w:hAnsi="Arial" w:cs="Arial"/>
        </w:rPr>
        <w:t>c</w:t>
      </w:r>
      <w:r w:rsidR="003B0FA3" w:rsidRPr="003D4E19">
        <w:rPr>
          <w:rFonts w:ascii="Arial" w:eastAsia="Arial" w:hAnsi="Arial" w:cs="Arial"/>
          <w:spacing w:val="-1"/>
        </w:rPr>
        <w:t>i</w:t>
      </w:r>
      <w:r w:rsidR="003B0FA3" w:rsidRPr="003D4E19">
        <w:rPr>
          <w:rFonts w:ascii="Arial" w:eastAsia="Arial" w:hAnsi="Arial" w:cs="Arial"/>
        </w:rPr>
        <w:t>s</w:t>
      </w:r>
      <w:r w:rsidR="003B0FA3" w:rsidRPr="003D4E19">
        <w:rPr>
          <w:rFonts w:ascii="Arial" w:eastAsia="Arial" w:hAnsi="Arial" w:cs="Arial"/>
          <w:spacing w:val="1"/>
        </w:rPr>
        <w:t>e</w:t>
      </w:r>
      <w:r w:rsidR="003B0FA3" w:rsidRPr="003D4E19">
        <w:rPr>
          <w:rFonts w:ascii="Arial" w:eastAsia="Arial" w:hAnsi="Arial" w:cs="Arial"/>
        </w:rPr>
        <w:t>d</w:t>
      </w:r>
      <w:r w:rsidR="003B0FA3" w:rsidRPr="003D4E19">
        <w:rPr>
          <w:rFonts w:ascii="Arial" w:eastAsia="Arial" w:hAnsi="Arial" w:cs="Arial"/>
          <w:spacing w:val="-1"/>
        </w:rPr>
        <w:t xml:space="preserve"> </w:t>
      </w:r>
      <w:r w:rsidR="003B0FA3" w:rsidRPr="003D4E19">
        <w:rPr>
          <w:rFonts w:ascii="Arial" w:eastAsia="Arial" w:hAnsi="Arial" w:cs="Arial"/>
          <w:spacing w:val="1"/>
        </w:rPr>
        <w:t>u</w:t>
      </w:r>
      <w:r w:rsidR="003B0FA3" w:rsidRPr="003D4E19">
        <w:rPr>
          <w:rFonts w:ascii="Arial" w:eastAsia="Arial" w:hAnsi="Arial" w:cs="Arial"/>
          <w:spacing w:val="-2"/>
        </w:rPr>
        <w:t>n</w:t>
      </w:r>
      <w:r w:rsidR="003B0FA3" w:rsidRPr="003D4E19">
        <w:rPr>
          <w:rFonts w:ascii="Arial" w:eastAsia="Arial" w:hAnsi="Arial" w:cs="Arial"/>
          <w:spacing w:val="1"/>
        </w:rPr>
        <w:t>de</w:t>
      </w:r>
      <w:r w:rsidR="003B0FA3" w:rsidRPr="003D4E19">
        <w:rPr>
          <w:rFonts w:ascii="Arial" w:eastAsia="Arial" w:hAnsi="Arial" w:cs="Arial"/>
        </w:rPr>
        <w:t>r</w:t>
      </w:r>
      <w:r w:rsidR="003B0FA3" w:rsidRPr="003D4E19">
        <w:rPr>
          <w:rFonts w:ascii="Arial" w:eastAsia="Arial" w:hAnsi="Arial" w:cs="Arial"/>
          <w:spacing w:val="-2"/>
        </w:rPr>
        <w:t xml:space="preserve"> </w:t>
      </w:r>
      <w:r w:rsidR="003B0FA3" w:rsidRPr="003D4E19">
        <w:rPr>
          <w:rFonts w:ascii="Arial" w:eastAsia="Arial" w:hAnsi="Arial" w:cs="Arial"/>
        </w:rPr>
        <w:t>c</w:t>
      </w:r>
      <w:r w:rsidR="003B0FA3" w:rsidRPr="003D4E19">
        <w:rPr>
          <w:rFonts w:ascii="Arial" w:eastAsia="Arial" w:hAnsi="Arial" w:cs="Arial"/>
          <w:spacing w:val="1"/>
        </w:rPr>
        <w:t>on</w:t>
      </w:r>
      <w:r w:rsidR="003B0FA3" w:rsidRPr="003D4E19">
        <w:rPr>
          <w:rFonts w:ascii="Arial" w:eastAsia="Arial" w:hAnsi="Arial" w:cs="Arial"/>
        </w:rPr>
        <w:t>s</w:t>
      </w:r>
      <w:r w:rsidR="003B0FA3" w:rsidRPr="003D4E19">
        <w:rPr>
          <w:rFonts w:ascii="Arial" w:eastAsia="Arial" w:hAnsi="Arial" w:cs="Arial"/>
          <w:spacing w:val="-1"/>
        </w:rPr>
        <w:t>id</w:t>
      </w:r>
      <w:r w:rsidR="003B0FA3" w:rsidRPr="003D4E19">
        <w:rPr>
          <w:rFonts w:ascii="Arial" w:eastAsia="Arial" w:hAnsi="Arial" w:cs="Arial"/>
          <w:spacing w:val="1"/>
        </w:rPr>
        <w:t>e</w:t>
      </w:r>
      <w:r w:rsidR="003B0FA3" w:rsidRPr="003D4E19">
        <w:rPr>
          <w:rFonts w:ascii="Arial" w:eastAsia="Arial" w:hAnsi="Arial" w:cs="Arial"/>
          <w:spacing w:val="-1"/>
        </w:rPr>
        <w:t>r</w:t>
      </w:r>
      <w:r w:rsidR="003B0FA3" w:rsidRPr="003D4E19">
        <w:rPr>
          <w:rFonts w:ascii="Arial" w:eastAsia="Arial" w:hAnsi="Arial" w:cs="Arial"/>
          <w:spacing w:val="1"/>
        </w:rPr>
        <w:t>ab</w:t>
      </w:r>
      <w:r w:rsidR="003B0FA3" w:rsidRPr="003D4E19">
        <w:rPr>
          <w:rFonts w:ascii="Arial" w:eastAsia="Arial" w:hAnsi="Arial" w:cs="Arial"/>
          <w:spacing w:val="-1"/>
        </w:rPr>
        <w:t>l</w:t>
      </w:r>
      <w:r w:rsidR="003B0FA3" w:rsidRPr="003D4E19">
        <w:rPr>
          <w:rFonts w:ascii="Arial" w:eastAsia="Arial" w:hAnsi="Arial" w:cs="Arial"/>
        </w:rPr>
        <w:t>e</w:t>
      </w:r>
      <w:r w:rsidR="003B0FA3" w:rsidRPr="003D4E19">
        <w:rPr>
          <w:rFonts w:ascii="Arial" w:eastAsia="Arial" w:hAnsi="Arial" w:cs="Arial"/>
          <w:spacing w:val="-1"/>
        </w:rPr>
        <w:t xml:space="preserve"> </w:t>
      </w:r>
      <w:r w:rsidR="003B0FA3" w:rsidRPr="003D4E19">
        <w:rPr>
          <w:rFonts w:ascii="Arial" w:eastAsia="Arial" w:hAnsi="Arial" w:cs="Arial"/>
          <w:spacing w:val="1"/>
        </w:rPr>
        <w:t>p</w:t>
      </w:r>
      <w:r w:rsidR="003B0FA3" w:rsidRPr="003D4E19">
        <w:rPr>
          <w:rFonts w:ascii="Arial" w:eastAsia="Arial" w:hAnsi="Arial" w:cs="Arial"/>
          <w:spacing w:val="-1"/>
        </w:rPr>
        <w:t>r</w:t>
      </w:r>
      <w:r w:rsidR="003B0FA3" w:rsidRPr="003D4E19">
        <w:rPr>
          <w:rFonts w:ascii="Arial" w:eastAsia="Arial" w:hAnsi="Arial" w:cs="Arial"/>
          <w:spacing w:val="1"/>
        </w:rPr>
        <w:t>e</w:t>
      </w:r>
      <w:r w:rsidR="003B0FA3" w:rsidRPr="003D4E19">
        <w:rPr>
          <w:rFonts w:ascii="Arial" w:eastAsia="Arial" w:hAnsi="Arial" w:cs="Arial"/>
        </w:rPr>
        <w:t>ss</w:t>
      </w:r>
      <w:r w:rsidR="003B0FA3" w:rsidRPr="003D4E19">
        <w:rPr>
          <w:rFonts w:ascii="Arial" w:eastAsia="Arial" w:hAnsi="Arial" w:cs="Arial"/>
          <w:spacing w:val="1"/>
        </w:rPr>
        <w:t>u</w:t>
      </w:r>
      <w:r w:rsidR="003B0FA3" w:rsidRPr="003D4E19">
        <w:rPr>
          <w:rFonts w:ascii="Arial" w:eastAsia="Arial" w:hAnsi="Arial" w:cs="Arial"/>
          <w:spacing w:val="-1"/>
        </w:rPr>
        <w:t>re</w:t>
      </w:r>
      <w:r w:rsidR="003B0FA3" w:rsidRPr="003D4E19">
        <w:rPr>
          <w:rFonts w:ascii="Arial" w:eastAsia="Arial" w:hAnsi="Arial" w:cs="Arial"/>
        </w:rPr>
        <w:t>.</w:t>
      </w:r>
      <w:r w:rsidR="003B0FA3" w:rsidRPr="003D4E19">
        <w:rPr>
          <w:rFonts w:ascii="Arial" w:eastAsia="Arial" w:hAnsi="Arial" w:cs="Arial"/>
          <w:spacing w:val="1"/>
        </w:rPr>
        <w:t xml:space="preserve"> </w:t>
      </w:r>
      <w:r w:rsidR="003B0FA3" w:rsidRPr="003D4E19">
        <w:rPr>
          <w:rFonts w:ascii="Arial" w:eastAsia="Arial" w:hAnsi="Arial" w:cs="Arial"/>
        </w:rPr>
        <w:t>T</w:t>
      </w:r>
      <w:r w:rsidR="003B0FA3" w:rsidRPr="003D4E19">
        <w:rPr>
          <w:rFonts w:ascii="Arial" w:eastAsia="Arial" w:hAnsi="Arial" w:cs="Arial"/>
          <w:spacing w:val="1"/>
        </w:rPr>
        <w:t>h</w:t>
      </w:r>
      <w:r w:rsidR="003B0FA3" w:rsidRPr="003D4E19">
        <w:rPr>
          <w:rFonts w:ascii="Arial" w:eastAsia="Arial" w:hAnsi="Arial" w:cs="Arial"/>
          <w:spacing w:val="-1"/>
        </w:rPr>
        <w:t>i</w:t>
      </w:r>
      <w:r w:rsidR="003B0FA3" w:rsidRPr="003D4E19">
        <w:rPr>
          <w:rFonts w:ascii="Arial" w:eastAsia="Arial" w:hAnsi="Arial" w:cs="Arial"/>
        </w:rPr>
        <w:t>s</w:t>
      </w:r>
      <w:r w:rsidR="003B0FA3" w:rsidRPr="003D4E19">
        <w:rPr>
          <w:rFonts w:ascii="Arial" w:eastAsia="Arial" w:hAnsi="Arial" w:cs="Arial"/>
          <w:spacing w:val="1"/>
        </w:rPr>
        <w:t xml:space="preserve"> un</w:t>
      </w:r>
      <w:r w:rsidR="003B0FA3" w:rsidRPr="003D4E19">
        <w:rPr>
          <w:rFonts w:ascii="Arial" w:eastAsia="Arial" w:hAnsi="Arial" w:cs="Arial"/>
          <w:spacing w:val="-2"/>
        </w:rPr>
        <w:t>c</w:t>
      </w:r>
      <w:r w:rsidR="003B0FA3" w:rsidRPr="003D4E19">
        <w:rPr>
          <w:rFonts w:ascii="Arial" w:eastAsia="Arial" w:hAnsi="Arial" w:cs="Arial"/>
          <w:spacing w:val="1"/>
        </w:rPr>
        <w:t>e</w:t>
      </w:r>
      <w:r w:rsidR="003B0FA3" w:rsidRPr="003D4E19">
        <w:rPr>
          <w:rFonts w:ascii="Arial" w:eastAsia="Arial" w:hAnsi="Arial" w:cs="Arial"/>
          <w:spacing w:val="-1"/>
        </w:rPr>
        <w:t>r</w:t>
      </w:r>
      <w:r w:rsidR="003B0FA3" w:rsidRPr="003D4E19">
        <w:rPr>
          <w:rFonts w:ascii="Arial" w:eastAsia="Arial" w:hAnsi="Arial" w:cs="Arial"/>
          <w:spacing w:val="1"/>
        </w:rPr>
        <w:t>ta</w:t>
      </w:r>
      <w:r w:rsidR="003B0FA3" w:rsidRPr="003D4E19">
        <w:rPr>
          <w:rFonts w:ascii="Arial" w:eastAsia="Arial" w:hAnsi="Arial" w:cs="Arial"/>
          <w:spacing w:val="-1"/>
        </w:rPr>
        <w:t>in</w:t>
      </w:r>
      <w:r w:rsidR="003B0FA3" w:rsidRPr="003D4E19">
        <w:rPr>
          <w:rFonts w:ascii="Arial" w:eastAsia="Arial" w:hAnsi="Arial" w:cs="Arial"/>
          <w:spacing w:val="1"/>
        </w:rPr>
        <w:t>t</w:t>
      </w:r>
      <w:r w:rsidR="003B0FA3" w:rsidRPr="003D4E19">
        <w:rPr>
          <w:rFonts w:ascii="Arial" w:eastAsia="Arial" w:hAnsi="Arial" w:cs="Arial"/>
        </w:rPr>
        <w:t xml:space="preserve">y </w:t>
      </w:r>
      <w:r w:rsidR="003B0FA3" w:rsidRPr="003D4E19">
        <w:rPr>
          <w:rFonts w:ascii="Arial" w:eastAsia="Arial" w:hAnsi="Arial" w:cs="Arial"/>
          <w:spacing w:val="1"/>
        </w:rPr>
        <w:t>ha</w:t>
      </w:r>
      <w:r w:rsidR="003B0FA3" w:rsidRPr="003D4E19">
        <w:rPr>
          <w:rFonts w:ascii="Arial" w:eastAsia="Arial" w:hAnsi="Arial" w:cs="Arial"/>
        </w:rPr>
        <w:t xml:space="preserve">s </w:t>
      </w:r>
      <w:r w:rsidR="003B0FA3" w:rsidRPr="003D4E19">
        <w:rPr>
          <w:rFonts w:ascii="Arial" w:eastAsia="Arial" w:hAnsi="Arial" w:cs="Arial"/>
          <w:spacing w:val="-1"/>
        </w:rPr>
        <w:t>a</w:t>
      </w:r>
      <w:r w:rsidR="003B0FA3" w:rsidRPr="003D4E19">
        <w:rPr>
          <w:rFonts w:ascii="Arial" w:eastAsia="Arial" w:hAnsi="Arial" w:cs="Arial"/>
          <w:spacing w:val="1"/>
        </w:rPr>
        <w:t>ffe</w:t>
      </w:r>
      <w:r w:rsidR="003B0FA3" w:rsidRPr="003D4E19">
        <w:rPr>
          <w:rFonts w:ascii="Arial" w:eastAsia="Arial" w:hAnsi="Arial" w:cs="Arial"/>
        </w:rPr>
        <w:t>c</w:t>
      </w:r>
      <w:r w:rsidR="003B0FA3" w:rsidRPr="003D4E19">
        <w:rPr>
          <w:rFonts w:ascii="Arial" w:eastAsia="Arial" w:hAnsi="Arial" w:cs="Arial"/>
          <w:spacing w:val="-2"/>
        </w:rPr>
        <w:t>t</w:t>
      </w:r>
      <w:r w:rsidR="003B0FA3" w:rsidRPr="003D4E19">
        <w:rPr>
          <w:rFonts w:ascii="Arial" w:eastAsia="Arial" w:hAnsi="Arial" w:cs="Arial"/>
          <w:spacing w:val="1"/>
        </w:rPr>
        <w:t>e</w:t>
      </w:r>
      <w:r w:rsidR="003B0FA3" w:rsidRPr="003D4E19">
        <w:rPr>
          <w:rFonts w:ascii="Arial" w:eastAsia="Arial" w:hAnsi="Arial" w:cs="Arial"/>
        </w:rPr>
        <w:t>d</w:t>
      </w:r>
      <w:r w:rsidR="003B0FA3" w:rsidRPr="003D4E19">
        <w:rPr>
          <w:rFonts w:ascii="Arial" w:eastAsia="Arial" w:hAnsi="Arial" w:cs="Arial"/>
          <w:spacing w:val="-1"/>
        </w:rPr>
        <w:t xml:space="preserve"> </w:t>
      </w:r>
      <w:r w:rsidR="003B0FA3" w:rsidRPr="003D4E19">
        <w:rPr>
          <w:rFonts w:ascii="Arial" w:eastAsia="Arial" w:hAnsi="Arial" w:cs="Arial"/>
          <w:spacing w:val="1"/>
        </w:rPr>
        <w:t>tho</w:t>
      </w:r>
      <w:r w:rsidR="003B0FA3" w:rsidRPr="003D4E19">
        <w:rPr>
          <w:rFonts w:ascii="Arial" w:eastAsia="Arial" w:hAnsi="Arial" w:cs="Arial"/>
          <w:spacing w:val="-2"/>
        </w:rPr>
        <w:t>s</w:t>
      </w:r>
      <w:r w:rsidR="003B0FA3" w:rsidRPr="003D4E19">
        <w:rPr>
          <w:rFonts w:ascii="Arial" w:eastAsia="Arial" w:hAnsi="Arial" w:cs="Arial"/>
        </w:rPr>
        <w:t>e</w:t>
      </w:r>
      <w:r w:rsidR="003B0FA3" w:rsidRPr="003D4E19">
        <w:rPr>
          <w:rFonts w:ascii="Arial" w:eastAsia="Arial" w:hAnsi="Arial" w:cs="Arial"/>
          <w:spacing w:val="2"/>
        </w:rPr>
        <w:t xml:space="preserve"> </w:t>
      </w:r>
      <w:r w:rsidR="003B0FA3" w:rsidRPr="003D4E19">
        <w:rPr>
          <w:rFonts w:ascii="Arial" w:eastAsia="Arial" w:hAnsi="Arial" w:cs="Arial"/>
        </w:rPr>
        <w:t>s</w:t>
      </w:r>
      <w:r w:rsidR="003B0FA3" w:rsidRPr="003D4E19">
        <w:rPr>
          <w:rFonts w:ascii="Arial" w:eastAsia="Arial" w:hAnsi="Arial" w:cs="Arial"/>
          <w:spacing w:val="1"/>
        </w:rPr>
        <w:t>e</w:t>
      </w:r>
      <w:r w:rsidR="003B0FA3" w:rsidRPr="003D4E19">
        <w:rPr>
          <w:rFonts w:ascii="Arial" w:eastAsia="Arial" w:hAnsi="Arial" w:cs="Arial"/>
          <w:spacing w:val="-3"/>
        </w:rPr>
        <w:t>r</w:t>
      </w:r>
      <w:r w:rsidR="003B0FA3" w:rsidRPr="003D4E19">
        <w:rPr>
          <w:rFonts w:ascii="Arial" w:eastAsia="Arial" w:hAnsi="Arial" w:cs="Arial"/>
        </w:rPr>
        <w:t>v</w:t>
      </w:r>
      <w:r w:rsidR="003B0FA3" w:rsidRPr="003D4E19">
        <w:rPr>
          <w:rFonts w:ascii="Arial" w:eastAsia="Arial" w:hAnsi="Arial" w:cs="Arial"/>
          <w:spacing w:val="-1"/>
        </w:rPr>
        <w:t>i</w:t>
      </w:r>
      <w:r w:rsidR="003B0FA3" w:rsidRPr="003D4E19">
        <w:rPr>
          <w:rFonts w:ascii="Arial" w:eastAsia="Arial" w:hAnsi="Arial" w:cs="Arial"/>
        </w:rPr>
        <w:t>c</w:t>
      </w:r>
      <w:r w:rsidR="003B0FA3" w:rsidRPr="003D4E19">
        <w:rPr>
          <w:rFonts w:ascii="Arial" w:eastAsia="Arial" w:hAnsi="Arial" w:cs="Arial"/>
          <w:spacing w:val="1"/>
        </w:rPr>
        <w:t>e</w:t>
      </w:r>
      <w:r w:rsidR="003B0FA3" w:rsidRPr="003D4E19">
        <w:rPr>
          <w:rFonts w:ascii="Arial" w:eastAsia="Arial" w:hAnsi="Arial" w:cs="Arial"/>
        </w:rPr>
        <w:t>s</w:t>
      </w:r>
      <w:r w:rsidR="003B0FA3" w:rsidRPr="003D4E19">
        <w:rPr>
          <w:rFonts w:ascii="Arial" w:eastAsia="Arial" w:hAnsi="Arial" w:cs="Arial"/>
          <w:spacing w:val="1"/>
        </w:rPr>
        <w:t xml:space="preserve"> o</w:t>
      </w:r>
      <w:r w:rsidR="003B0FA3" w:rsidRPr="003D4E19">
        <w:rPr>
          <w:rFonts w:ascii="Arial" w:eastAsia="Arial" w:hAnsi="Arial" w:cs="Arial"/>
          <w:spacing w:val="-2"/>
        </w:rPr>
        <w:t>p</w:t>
      </w:r>
      <w:r w:rsidR="003B0FA3" w:rsidRPr="003D4E19">
        <w:rPr>
          <w:rFonts w:ascii="Arial" w:eastAsia="Arial" w:hAnsi="Arial" w:cs="Arial"/>
          <w:spacing w:val="1"/>
        </w:rPr>
        <w:t>e</w:t>
      </w:r>
      <w:r w:rsidR="003B0FA3" w:rsidRPr="003D4E19">
        <w:rPr>
          <w:rFonts w:ascii="Arial" w:eastAsia="Arial" w:hAnsi="Arial" w:cs="Arial"/>
          <w:spacing w:val="-1"/>
        </w:rPr>
        <w:t>r</w:t>
      </w:r>
      <w:r w:rsidR="003B0FA3" w:rsidRPr="003D4E19">
        <w:rPr>
          <w:rFonts w:ascii="Arial" w:eastAsia="Arial" w:hAnsi="Arial" w:cs="Arial"/>
          <w:spacing w:val="1"/>
        </w:rPr>
        <w:t>a</w:t>
      </w:r>
      <w:r w:rsidR="003B0FA3" w:rsidRPr="003D4E19">
        <w:rPr>
          <w:rFonts w:ascii="Arial" w:eastAsia="Arial" w:hAnsi="Arial" w:cs="Arial"/>
        </w:rPr>
        <w:t>t</w:t>
      </w:r>
      <w:r w:rsidR="003B0FA3" w:rsidRPr="003D4E19">
        <w:rPr>
          <w:rFonts w:ascii="Arial" w:eastAsia="Arial" w:hAnsi="Arial" w:cs="Arial"/>
          <w:spacing w:val="-1"/>
        </w:rPr>
        <w:t>i</w:t>
      </w:r>
      <w:r w:rsidR="003B0FA3" w:rsidRPr="003D4E19">
        <w:rPr>
          <w:rFonts w:ascii="Arial" w:eastAsia="Arial" w:hAnsi="Arial" w:cs="Arial"/>
          <w:spacing w:val="1"/>
        </w:rPr>
        <w:t>n</w:t>
      </w:r>
      <w:r w:rsidR="003B0FA3" w:rsidRPr="003D4E19">
        <w:rPr>
          <w:rFonts w:ascii="Arial" w:eastAsia="Arial" w:hAnsi="Arial" w:cs="Arial"/>
        </w:rPr>
        <w:t>g</w:t>
      </w:r>
      <w:r w:rsidR="003B0FA3" w:rsidRPr="003D4E19">
        <w:rPr>
          <w:rFonts w:ascii="Arial" w:eastAsia="Arial" w:hAnsi="Arial" w:cs="Arial"/>
          <w:spacing w:val="-1"/>
        </w:rPr>
        <w:t xml:space="preserve"> wi</w:t>
      </w:r>
      <w:r w:rsidR="003B0FA3" w:rsidRPr="003D4E19">
        <w:rPr>
          <w:rFonts w:ascii="Arial" w:eastAsia="Arial" w:hAnsi="Arial" w:cs="Arial"/>
          <w:spacing w:val="1"/>
        </w:rPr>
        <w:t>th</w:t>
      </w:r>
      <w:r w:rsidR="003B0FA3" w:rsidRPr="003D4E19">
        <w:rPr>
          <w:rFonts w:ascii="Arial" w:eastAsia="Arial" w:hAnsi="Arial" w:cs="Arial"/>
          <w:spacing w:val="-1"/>
        </w:rPr>
        <w:t>i</w:t>
      </w:r>
      <w:r w:rsidR="003B0FA3" w:rsidRPr="003D4E19">
        <w:rPr>
          <w:rFonts w:ascii="Arial" w:eastAsia="Arial" w:hAnsi="Arial" w:cs="Arial"/>
        </w:rPr>
        <w:t>n</w:t>
      </w:r>
      <w:r w:rsidR="003B0FA3" w:rsidRPr="003D4E19">
        <w:rPr>
          <w:rFonts w:ascii="Arial" w:eastAsia="Arial" w:hAnsi="Arial" w:cs="Arial"/>
          <w:spacing w:val="-1"/>
        </w:rPr>
        <w:t xml:space="preserve"> </w:t>
      </w:r>
      <w:r w:rsidR="003B0FA3" w:rsidRPr="003D4E19">
        <w:rPr>
          <w:rFonts w:ascii="Arial" w:eastAsia="Arial" w:hAnsi="Arial" w:cs="Arial"/>
          <w:spacing w:val="1"/>
        </w:rPr>
        <w:t>de</w:t>
      </w:r>
      <w:r w:rsidR="003B0FA3" w:rsidRPr="003D4E19">
        <w:rPr>
          <w:rFonts w:ascii="Arial" w:eastAsia="Arial" w:hAnsi="Arial" w:cs="Arial"/>
        </w:rPr>
        <w:t>v</w:t>
      </w:r>
      <w:r w:rsidR="003B0FA3" w:rsidRPr="003D4E19">
        <w:rPr>
          <w:rFonts w:ascii="Arial" w:eastAsia="Arial" w:hAnsi="Arial" w:cs="Arial"/>
          <w:spacing w:val="1"/>
        </w:rPr>
        <w:t>o</w:t>
      </w:r>
      <w:r w:rsidR="003B0FA3" w:rsidRPr="003D4E19">
        <w:rPr>
          <w:rFonts w:ascii="Arial" w:eastAsia="Arial" w:hAnsi="Arial" w:cs="Arial"/>
          <w:spacing w:val="-1"/>
        </w:rPr>
        <w:t>l</w:t>
      </w:r>
      <w:r w:rsidR="003B0FA3" w:rsidRPr="003D4E19">
        <w:rPr>
          <w:rFonts w:ascii="Arial" w:eastAsia="Arial" w:hAnsi="Arial" w:cs="Arial"/>
        </w:rPr>
        <w:t>v</w:t>
      </w:r>
      <w:r w:rsidR="003B0FA3" w:rsidRPr="003D4E19">
        <w:rPr>
          <w:rFonts w:ascii="Arial" w:eastAsia="Arial" w:hAnsi="Arial" w:cs="Arial"/>
          <w:spacing w:val="-1"/>
        </w:rPr>
        <w:t>e</w:t>
      </w:r>
      <w:r w:rsidR="003B0FA3" w:rsidRPr="003D4E19">
        <w:rPr>
          <w:rFonts w:ascii="Arial" w:eastAsia="Arial" w:hAnsi="Arial" w:cs="Arial"/>
        </w:rPr>
        <w:t>d</w:t>
      </w:r>
      <w:r w:rsidR="003B0FA3" w:rsidRPr="003D4E19">
        <w:rPr>
          <w:rFonts w:ascii="Arial" w:eastAsia="Arial" w:hAnsi="Arial" w:cs="Arial"/>
          <w:spacing w:val="2"/>
        </w:rPr>
        <w:t xml:space="preserve"> </w:t>
      </w:r>
      <w:r w:rsidR="003B0FA3" w:rsidRPr="003D4E19">
        <w:rPr>
          <w:rFonts w:ascii="Arial" w:eastAsia="Arial" w:hAnsi="Arial" w:cs="Arial"/>
        </w:rPr>
        <w:t>c</w:t>
      </w:r>
      <w:r w:rsidR="003B0FA3" w:rsidRPr="003D4E19">
        <w:rPr>
          <w:rFonts w:ascii="Arial" w:eastAsia="Arial" w:hAnsi="Arial" w:cs="Arial"/>
          <w:spacing w:val="-2"/>
        </w:rPr>
        <w:t>o</w:t>
      </w:r>
      <w:r w:rsidR="003B0FA3" w:rsidRPr="003D4E19">
        <w:rPr>
          <w:rFonts w:ascii="Arial" w:eastAsia="Arial" w:hAnsi="Arial" w:cs="Arial"/>
          <w:spacing w:val="2"/>
        </w:rPr>
        <w:t>m</w:t>
      </w:r>
      <w:r w:rsidR="003B0FA3" w:rsidRPr="003D4E19">
        <w:rPr>
          <w:rFonts w:ascii="Arial" w:eastAsia="Arial" w:hAnsi="Arial" w:cs="Arial"/>
          <w:spacing w:val="-1"/>
        </w:rPr>
        <w:t>p</w:t>
      </w:r>
      <w:r w:rsidR="003B0FA3" w:rsidRPr="003D4E19">
        <w:rPr>
          <w:rFonts w:ascii="Arial" w:eastAsia="Arial" w:hAnsi="Arial" w:cs="Arial"/>
          <w:spacing w:val="1"/>
        </w:rPr>
        <w:t>e</w:t>
      </w:r>
      <w:r w:rsidR="003B0FA3" w:rsidRPr="003D4E19">
        <w:rPr>
          <w:rFonts w:ascii="Arial" w:eastAsia="Arial" w:hAnsi="Arial" w:cs="Arial"/>
        </w:rPr>
        <w:t>t</w:t>
      </w:r>
      <w:r w:rsidR="003B0FA3" w:rsidRPr="003D4E19">
        <w:rPr>
          <w:rFonts w:ascii="Arial" w:eastAsia="Arial" w:hAnsi="Arial" w:cs="Arial"/>
          <w:spacing w:val="-1"/>
        </w:rPr>
        <w:t>e</w:t>
      </w:r>
      <w:r w:rsidR="003B0FA3" w:rsidRPr="003D4E19">
        <w:rPr>
          <w:rFonts w:ascii="Arial" w:eastAsia="Arial" w:hAnsi="Arial" w:cs="Arial"/>
          <w:spacing w:val="1"/>
        </w:rPr>
        <w:t>n</w:t>
      </w:r>
      <w:r w:rsidR="003B0FA3" w:rsidRPr="003D4E19">
        <w:rPr>
          <w:rFonts w:ascii="Arial" w:eastAsia="Arial" w:hAnsi="Arial" w:cs="Arial"/>
        </w:rPr>
        <w:t>c</w:t>
      </w:r>
      <w:r w:rsidR="003B0FA3" w:rsidRPr="003D4E19">
        <w:rPr>
          <w:rFonts w:ascii="Arial" w:eastAsia="Arial" w:hAnsi="Arial" w:cs="Arial"/>
          <w:spacing w:val="1"/>
        </w:rPr>
        <w:t>e</w:t>
      </w:r>
      <w:r w:rsidR="003B0FA3" w:rsidRPr="003D4E19">
        <w:rPr>
          <w:rFonts w:ascii="Arial" w:eastAsia="Arial" w:hAnsi="Arial" w:cs="Arial"/>
        </w:rPr>
        <w:t>,</w:t>
      </w:r>
      <w:r w:rsidR="003B0FA3" w:rsidRPr="003D4E19">
        <w:rPr>
          <w:rFonts w:ascii="Arial" w:eastAsia="Arial" w:hAnsi="Arial" w:cs="Arial"/>
          <w:spacing w:val="-1"/>
        </w:rPr>
        <w:t xml:space="preserve"> li</w:t>
      </w:r>
      <w:r w:rsidR="003B0FA3" w:rsidRPr="003D4E19">
        <w:rPr>
          <w:rFonts w:ascii="Arial" w:eastAsia="Arial" w:hAnsi="Arial" w:cs="Arial"/>
        </w:rPr>
        <w:t>ke</w:t>
      </w:r>
      <w:r w:rsidR="003B0FA3" w:rsidRPr="003D4E19">
        <w:rPr>
          <w:rFonts w:ascii="Arial" w:eastAsia="Arial" w:hAnsi="Arial" w:cs="Arial"/>
          <w:spacing w:val="2"/>
        </w:rPr>
        <w:t xml:space="preserve"> </w:t>
      </w:r>
      <w:r w:rsidR="003B0FA3" w:rsidRPr="003D4E19">
        <w:rPr>
          <w:rFonts w:ascii="Arial" w:eastAsia="Arial" w:hAnsi="Arial" w:cs="Arial"/>
          <w:spacing w:val="1"/>
        </w:rPr>
        <w:t>po</w:t>
      </w:r>
      <w:r w:rsidR="003B0FA3" w:rsidRPr="003D4E19">
        <w:rPr>
          <w:rFonts w:ascii="Arial" w:eastAsia="Arial" w:hAnsi="Arial" w:cs="Arial"/>
          <w:spacing w:val="-1"/>
        </w:rPr>
        <w:t>li</w:t>
      </w:r>
      <w:r w:rsidR="003B0FA3" w:rsidRPr="003D4E19">
        <w:rPr>
          <w:rFonts w:ascii="Arial" w:eastAsia="Arial" w:hAnsi="Arial" w:cs="Arial"/>
        </w:rPr>
        <w:t>ce</w:t>
      </w:r>
      <w:r w:rsidR="003B0FA3" w:rsidRPr="003D4E19">
        <w:rPr>
          <w:rFonts w:ascii="Arial" w:eastAsia="Arial" w:hAnsi="Arial" w:cs="Arial"/>
          <w:spacing w:val="2"/>
        </w:rPr>
        <w:t xml:space="preserve"> </w:t>
      </w:r>
      <w:r w:rsidR="003B0FA3" w:rsidRPr="003D4E19">
        <w:rPr>
          <w:rFonts w:ascii="Arial" w:eastAsia="Arial" w:hAnsi="Arial" w:cs="Arial"/>
          <w:spacing w:val="-2"/>
        </w:rPr>
        <w:t>f</w:t>
      </w:r>
      <w:r w:rsidR="003B0FA3" w:rsidRPr="003D4E19">
        <w:rPr>
          <w:rFonts w:ascii="Arial" w:eastAsia="Arial" w:hAnsi="Arial" w:cs="Arial"/>
          <w:spacing w:val="1"/>
        </w:rPr>
        <w:t>o</w:t>
      </w:r>
      <w:r w:rsidR="003B0FA3" w:rsidRPr="003D4E19">
        <w:rPr>
          <w:rFonts w:ascii="Arial" w:eastAsia="Arial" w:hAnsi="Arial" w:cs="Arial"/>
          <w:spacing w:val="-1"/>
        </w:rPr>
        <w:t>r</w:t>
      </w:r>
      <w:r w:rsidR="003B0FA3" w:rsidRPr="003D4E19">
        <w:rPr>
          <w:rFonts w:ascii="Arial" w:eastAsia="Arial" w:hAnsi="Arial" w:cs="Arial"/>
        </w:rPr>
        <w:t>c</w:t>
      </w:r>
      <w:r w:rsidR="003B0FA3" w:rsidRPr="003D4E19">
        <w:rPr>
          <w:rFonts w:ascii="Arial" w:eastAsia="Arial" w:hAnsi="Arial" w:cs="Arial"/>
          <w:spacing w:val="1"/>
        </w:rPr>
        <w:t>e</w:t>
      </w:r>
      <w:r w:rsidR="003B0FA3" w:rsidRPr="003D4E19">
        <w:rPr>
          <w:rFonts w:ascii="Arial" w:eastAsia="Arial" w:hAnsi="Arial" w:cs="Arial"/>
        </w:rPr>
        <w:t xml:space="preserve">s, </w:t>
      </w:r>
      <w:r w:rsidR="003B0FA3" w:rsidRPr="003D4E19">
        <w:rPr>
          <w:rFonts w:ascii="Arial" w:eastAsia="Arial" w:hAnsi="Arial" w:cs="Arial"/>
          <w:spacing w:val="1"/>
        </w:rPr>
        <w:t>an</w:t>
      </w:r>
      <w:r w:rsidR="003B0FA3" w:rsidRPr="003D4E19">
        <w:rPr>
          <w:rFonts w:ascii="Arial" w:eastAsia="Arial" w:hAnsi="Arial" w:cs="Arial"/>
        </w:rPr>
        <w:t>d</w:t>
      </w:r>
      <w:r w:rsidR="003B0FA3" w:rsidRPr="003D4E19">
        <w:rPr>
          <w:rFonts w:ascii="Arial" w:eastAsia="Arial" w:hAnsi="Arial" w:cs="Arial"/>
          <w:spacing w:val="-1"/>
        </w:rPr>
        <w:t xml:space="preserve"> </w:t>
      </w:r>
      <w:r w:rsidR="003B0FA3" w:rsidRPr="003D4E19">
        <w:rPr>
          <w:rFonts w:ascii="Arial" w:eastAsia="Arial" w:hAnsi="Arial" w:cs="Arial"/>
          <w:spacing w:val="1"/>
        </w:rPr>
        <w:t>tho</w:t>
      </w:r>
      <w:r w:rsidR="003B0FA3" w:rsidRPr="003D4E19">
        <w:rPr>
          <w:rFonts w:ascii="Arial" w:eastAsia="Arial" w:hAnsi="Arial" w:cs="Arial"/>
          <w:spacing w:val="-2"/>
        </w:rPr>
        <w:t>s</w:t>
      </w:r>
      <w:r w:rsidR="003B0FA3" w:rsidRPr="003D4E19">
        <w:rPr>
          <w:rFonts w:ascii="Arial" w:eastAsia="Arial" w:hAnsi="Arial" w:cs="Arial"/>
        </w:rPr>
        <w:t>e</w:t>
      </w:r>
      <w:r w:rsidR="003B0FA3" w:rsidRPr="003D4E19">
        <w:rPr>
          <w:rFonts w:ascii="Arial" w:eastAsia="Arial" w:hAnsi="Arial" w:cs="Arial"/>
          <w:spacing w:val="2"/>
        </w:rPr>
        <w:t xml:space="preserve"> </w:t>
      </w:r>
      <w:r w:rsidR="003B0FA3" w:rsidRPr="003D4E19">
        <w:rPr>
          <w:rFonts w:ascii="Arial" w:eastAsia="Arial" w:hAnsi="Arial" w:cs="Arial"/>
          <w:spacing w:val="-1"/>
        </w:rPr>
        <w:t>o</w:t>
      </w:r>
      <w:r w:rsidR="003B0FA3" w:rsidRPr="003D4E19">
        <w:rPr>
          <w:rFonts w:ascii="Arial" w:eastAsia="Arial" w:hAnsi="Arial" w:cs="Arial"/>
          <w:spacing w:val="1"/>
        </w:rPr>
        <w:t>pe</w:t>
      </w:r>
      <w:r w:rsidR="003B0FA3" w:rsidRPr="003D4E19">
        <w:rPr>
          <w:rFonts w:ascii="Arial" w:eastAsia="Arial" w:hAnsi="Arial" w:cs="Arial"/>
          <w:spacing w:val="-1"/>
        </w:rPr>
        <w:t>r</w:t>
      </w:r>
      <w:r w:rsidR="003B0FA3" w:rsidRPr="003D4E19">
        <w:rPr>
          <w:rFonts w:ascii="Arial" w:eastAsia="Arial" w:hAnsi="Arial" w:cs="Arial"/>
          <w:spacing w:val="1"/>
        </w:rPr>
        <w:t>a</w:t>
      </w:r>
      <w:r w:rsidR="003B0FA3" w:rsidRPr="003D4E19">
        <w:rPr>
          <w:rFonts w:ascii="Arial" w:eastAsia="Arial" w:hAnsi="Arial" w:cs="Arial"/>
        </w:rPr>
        <w:t>t</w:t>
      </w:r>
      <w:r w:rsidR="003B0FA3" w:rsidRPr="003D4E19">
        <w:rPr>
          <w:rFonts w:ascii="Arial" w:eastAsia="Arial" w:hAnsi="Arial" w:cs="Arial"/>
          <w:spacing w:val="-3"/>
        </w:rPr>
        <w:t>i</w:t>
      </w:r>
      <w:r w:rsidR="003B0FA3" w:rsidRPr="003D4E19">
        <w:rPr>
          <w:rFonts w:ascii="Arial" w:eastAsia="Arial" w:hAnsi="Arial" w:cs="Arial"/>
          <w:spacing w:val="1"/>
        </w:rPr>
        <w:t>n</w:t>
      </w:r>
      <w:r w:rsidR="003B0FA3" w:rsidRPr="003D4E19">
        <w:rPr>
          <w:rFonts w:ascii="Arial" w:eastAsia="Arial" w:hAnsi="Arial" w:cs="Arial"/>
        </w:rPr>
        <w:t>g</w:t>
      </w:r>
      <w:r w:rsidR="003B0FA3" w:rsidRPr="003D4E19">
        <w:rPr>
          <w:rFonts w:ascii="Arial" w:eastAsia="Arial" w:hAnsi="Arial" w:cs="Arial"/>
          <w:spacing w:val="2"/>
        </w:rPr>
        <w:t xml:space="preserve"> </w:t>
      </w:r>
      <w:r w:rsidR="003B0FA3" w:rsidRPr="003D4E19">
        <w:rPr>
          <w:rFonts w:ascii="Arial" w:eastAsia="Arial" w:hAnsi="Arial" w:cs="Arial"/>
          <w:spacing w:val="-1"/>
        </w:rPr>
        <w:t>w</w:t>
      </w:r>
      <w:r w:rsidR="003B0FA3" w:rsidRPr="003D4E19">
        <w:rPr>
          <w:rFonts w:ascii="Arial" w:eastAsia="Arial" w:hAnsi="Arial" w:cs="Arial"/>
          <w:spacing w:val="-3"/>
        </w:rPr>
        <w:t>i</w:t>
      </w:r>
      <w:r w:rsidR="003B0FA3" w:rsidRPr="003D4E19">
        <w:rPr>
          <w:rFonts w:ascii="Arial" w:eastAsia="Arial" w:hAnsi="Arial" w:cs="Arial"/>
          <w:spacing w:val="1"/>
        </w:rPr>
        <w:t>th</w:t>
      </w:r>
      <w:r w:rsidR="003B0FA3" w:rsidRPr="003D4E19">
        <w:rPr>
          <w:rFonts w:ascii="Arial" w:eastAsia="Arial" w:hAnsi="Arial" w:cs="Arial"/>
          <w:spacing w:val="-1"/>
        </w:rPr>
        <w:t>i</w:t>
      </w:r>
      <w:r w:rsidR="003B0FA3" w:rsidRPr="003D4E19">
        <w:rPr>
          <w:rFonts w:ascii="Arial" w:eastAsia="Arial" w:hAnsi="Arial" w:cs="Arial"/>
        </w:rPr>
        <w:t>n</w:t>
      </w:r>
      <w:r w:rsidR="003B0FA3" w:rsidRPr="003D4E19">
        <w:rPr>
          <w:rFonts w:ascii="Arial" w:eastAsia="Arial" w:hAnsi="Arial" w:cs="Arial"/>
          <w:spacing w:val="2"/>
        </w:rPr>
        <w:t xml:space="preserve"> </w:t>
      </w:r>
      <w:r w:rsidR="003B0FA3" w:rsidRPr="003D4E19">
        <w:rPr>
          <w:rFonts w:ascii="Arial" w:eastAsia="Arial" w:hAnsi="Arial" w:cs="Arial"/>
          <w:spacing w:val="-1"/>
        </w:rPr>
        <w:t>r</w:t>
      </w:r>
      <w:r w:rsidR="003B0FA3" w:rsidRPr="003D4E19">
        <w:rPr>
          <w:rFonts w:ascii="Arial" w:eastAsia="Arial" w:hAnsi="Arial" w:cs="Arial"/>
          <w:spacing w:val="1"/>
        </w:rPr>
        <w:t>e</w:t>
      </w:r>
      <w:r w:rsidR="003B0FA3" w:rsidRPr="003D4E19">
        <w:rPr>
          <w:rFonts w:ascii="Arial" w:eastAsia="Arial" w:hAnsi="Arial" w:cs="Arial"/>
        </w:rPr>
        <w:t>s</w:t>
      </w:r>
      <w:r w:rsidR="003B0FA3" w:rsidRPr="003D4E19">
        <w:rPr>
          <w:rFonts w:ascii="Arial" w:eastAsia="Arial" w:hAnsi="Arial" w:cs="Arial"/>
          <w:spacing w:val="1"/>
        </w:rPr>
        <w:t>e</w:t>
      </w:r>
      <w:r w:rsidR="003B0FA3" w:rsidRPr="003D4E19">
        <w:rPr>
          <w:rFonts w:ascii="Arial" w:eastAsia="Arial" w:hAnsi="Arial" w:cs="Arial"/>
          <w:spacing w:val="-1"/>
        </w:rPr>
        <w:t>r</w:t>
      </w:r>
      <w:r w:rsidR="003B0FA3" w:rsidRPr="003D4E19">
        <w:rPr>
          <w:rFonts w:ascii="Arial" w:eastAsia="Arial" w:hAnsi="Arial" w:cs="Arial"/>
        </w:rPr>
        <w:t>v</w:t>
      </w:r>
      <w:r w:rsidR="003B0FA3" w:rsidRPr="003D4E19">
        <w:rPr>
          <w:rFonts w:ascii="Arial" w:eastAsia="Arial" w:hAnsi="Arial" w:cs="Arial"/>
          <w:spacing w:val="-1"/>
        </w:rPr>
        <w:t>e</w:t>
      </w:r>
      <w:r w:rsidR="003B0FA3" w:rsidRPr="003D4E19">
        <w:rPr>
          <w:rFonts w:ascii="Arial" w:eastAsia="Arial" w:hAnsi="Arial" w:cs="Arial"/>
        </w:rPr>
        <w:t>d</w:t>
      </w:r>
      <w:r w:rsidR="003B0FA3" w:rsidRPr="003D4E19">
        <w:rPr>
          <w:rFonts w:ascii="Arial" w:eastAsia="Arial" w:hAnsi="Arial" w:cs="Arial"/>
          <w:spacing w:val="2"/>
        </w:rPr>
        <w:t xml:space="preserve"> </w:t>
      </w:r>
      <w:r w:rsidR="003B0FA3" w:rsidRPr="003D4E19">
        <w:rPr>
          <w:rFonts w:ascii="Arial" w:eastAsia="Arial" w:hAnsi="Arial" w:cs="Arial"/>
        </w:rPr>
        <w:t>c</w:t>
      </w:r>
      <w:r w:rsidR="003B0FA3" w:rsidRPr="003D4E19">
        <w:rPr>
          <w:rFonts w:ascii="Arial" w:eastAsia="Arial" w:hAnsi="Arial" w:cs="Arial"/>
          <w:spacing w:val="-1"/>
        </w:rPr>
        <w:t>om</w:t>
      </w:r>
      <w:r w:rsidR="003B0FA3" w:rsidRPr="003D4E19">
        <w:rPr>
          <w:rFonts w:ascii="Arial" w:eastAsia="Arial" w:hAnsi="Arial" w:cs="Arial"/>
          <w:spacing w:val="1"/>
        </w:rPr>
        <w:t>pe</w:t>
      </w:r>
      <w:r w:rsidR="003B0FA3" w:rsidRPr="003D4E19">
        <w:rPr>
          <w:rFonts w:ascii="Arial" w:eastAsia="Arial" w:hAnsi="Arial" w:cs="Arial"/>
          <w:spacing w:val="-2"/>
        </w:rPr>
        <w:t>t</w:t>
      </w:r>
      <w:r w:rsidR="003B0FA3" w:rsidRPr="003D4E19">
        <w:rPr>
          <w:rFonts w:ascii="Arial" w:eastAsia="Arial" w:hAnsi="Arial" w:cs="Arial"/>
          <w:spacing w:val="-1"/>
        </w:rPr>
        <w:t>e</w:t>
      </w:r>
      <w:r w:rsidR="003B0FA3" w:rsidRPr="003D4E19">
        <w:rPr>
          <w:rFonts w:ascii="Arial" w:eastAsia="Arial" w:hAnsi="Arial" w:cs="Arial"/>
          <w:spacing w:val="1"/>
        </w:rPr>
        <w:t>n</w:t>
      </w:r>
      <w:r w:rsidR="003B0FA3" w:rsidRPr="003D4E19">
        <w:rPr>
          <w:rFonts w:ascii="Arial" w:eastAsia="Arial" w:hAnsi="Arial" w:cs="Arial"/>
        </w:rPr>
        <w:t>c</w:t>
      </w:r>
      <w:r w:rsidR="003B0FA3" w:rsidRPr="003D4E19">
        <w:rPr>
          <w:rFonts w:ascii="Arial" w:eastAsia="Arial" w:hAnsi="Arial" w:cs="Arial"/>
          <w:spacing w:val="1"/>
        </w:rPr>
        <w:t>e</w:t>
      </w:r>
      <w:r w:rsidR="003B0FA3" w:rsidRPr="003D4E19">
        <w:rPr>
          <w:rFonts w:ascii="Arial" w:eastAsia="Arial" w:hAnsi="Arial" w:cs="Arial"/>
        </w:rPr>
        <w:t>,</w:t>
      </w:r>
      <w:r w:rsidR="003B0FA3" w:rsidRPr="003D4E19">
        <w:rPr>
          <w:rFonts w:ascii="Arial" w:eastAsia="Arial" w:hAnsi="Arial" w:cs="Arial"/>
          <w:spacing w:val="1"/>
        </w:rPr>
        <w:t xml:space="preserve"> </w:t>
      </w:r>
      <w:r w:rsidR="003B0FA3" w:rsidRPr="003D4E19">
        <w:rPr>
          <w:rFonts w:ascii="Arial" w:eastAsia="Arial" w:hAnsi="Arial" w:cs="Arial"/>
          <w:spacing w:val="-1"/>
        </w:rPr>
        <w:t>li</w:t>
      </w:r>
      <w:r w:rsidR="003B0FA3" w:rsidRPr="003D4E19">
        <w:rPr>
          <w:rFonts w:ascii="Arial" w:eastAsia="Arial" w:hAnsi="Arial" w:cs="Arial"/>
        </w:rPr>
        <w:t>ke</w:t>
      </w:r>
      <w:r w:rsidR="003B0FA3" w:rsidRPr="003D4E19">
        <w:rPr>
          <w:rFonts w:ascii="Arial" w:eastAsia="Arial" w:hAnsi="Arial" w:cs="Arial"/>
          <w:spacing w:val="-1"/>
        </w:rPr>
        <w:t xml:space="preserve"> </w:t>
      </w:r>
      <w:r w:rsidR="003B0FA3" w:rsidRPr="003D4E19">
        <w:rPr>
          <w:rFonts w:ascii="Arial" w:eastAsia="Arial" w:hAnsi="Arial" w:cs="Arial"/>
          <w:spacing w:val="1"/>
        </w:rPr>
        <w:t>th</w:t>
      </w:r>
      <w:r w:rsidR="003B0FA3" w:rsidRPr="003D4E19">
        <w:rPr>
          <w:rFonts w:ascii="Arial" w:eastAsia="Arial" w:hAnsi="Arial" w:cs="Arial"/>
        </w:rPr>
        <w:t>e</w:t>
      </w:r>
      <w:r w:rsidR="003B0FA3" w:rsidRPr="003D4E19">
        <w:rPr>
          <w:rFonts w:ascii="Arial" w:eastAsia="Arial" w:hAnsi="Arial" w:cs="Arial"/>
          <w:spacing w:val="-1"/>
        </w:rPr>
        <w:t xml:space="preserve"> </w:t>
      </w:r>
      <w:r w:rsidR="003B0FA3" w:rsidRPr="003D4E19">
        <w:rPr>
          <w:rFonts w:ascii="Arial" w:eastAsia="Arial" w:hAnsi="Arial" w:cs="Arial"/>
          <w:spacing w:val="1"/>
        </w:rPr>
        <w:t>a</w:t>
      </w:r>
      <w:r w:rsidR="003B0FA3" w:rsidRPr="003D4E19">
        <w:rPr>
          <w:rFonts w:ascii="Arial" w:eastAsia="Arial" w:hAnsi="Arial" w:cs="Arial"/>
          <w:spacing w:val="-1"/>
        </w:rPr>
        <w:t>rm</w:t>
      </w:r>
      <w:r w:rsidR="003B0FA3" w:rsidRPr="003D4E19">
        <w:rPr>
          <w:rFonts w:ascii="Arial" w:eastAsia="Arial" w:hAnsi="Arial" w:cs="Arial"/>
          <w:spacing w:val="1"/>
        </w:rPr>
        <w:t>e</w:t>
      </w:r>
      <w:r w:rsidR="003B0FA3" w:rsidRPr="003D4E19">
        <w:rPr>
          <w:rFonts w:ascii="Arial" w:eastAsia="Arial" w:hAnsi="Arial" w:cs="Arial"/>
        </w:rPr>
        <w:t>d</w:t>
      </w:r>
      <w:r w:rsidR="003B0FA3" w:rsidRPr="003D4E19">
        <w:rPr>
          <w:rFonts w:ascii="Arial" w:eastAsia="Arial" w:hAnsi="Arial" w:cs="Arial"/>
          <w:spacing w:val="2"/>
        </w:rPr>
        <w:t xml:space="preserve"> </w:t>
      </w:r>
      <w:r w:rsidR="003B0FA3" w:rsidRPr="003D4E19">
        <w:rPr>
          <w:rFonts w:ascii="Arial" w:eastAsia="Arial" w:hAnsi="Arial" w:cs="Arial"/>
          <w:spacing w:val="-2"/>
        </w:rPr>
        <w:t>f</w:t>
      </w:r>
      <w:r w:rsidR="003B0FA3" w:rsidRPr="003D4E19">
        <w:rPr>
          <w:rFonts w:ascii="Arial" w:eastAsia="Arial" w:hAnsi="Arial" w:cs="Arial"/>
          <w:spacing w:val="1"/>
        </w:rPr>
        <w:t>o</w:t>
      </w:r>
      <w:r w:rsidR="003B0FA3" w:rsidRPr="003D4E19">
        <w:rPr>
          <w:rFonts w:ascii="Arial" w:eastAsia="Arial" w:hAnsi="Arial" w:cs="Arial"/>
          <w:spacing w:val="-3"/>
        </w:rPr>
        <w:t>r</w:t>
      </w:r>
      <w:r w:rsidR="003B0FA3" w:rsidRPr="003D4E19">
        <w:rPr>
          <w:rFonts w:ascii="Arial" w:eastAsia="Arial" w:hAnsi="Arial" w:cs="Arial"/>
        </w:rPr>
        <w:t>c</w:t>
      </w:r>
      <w:r w:rsidR="003B0FA3" w:rsidRPr="003D4E19">
        <w:rPr>
          <w:rFonts w:ascii="Arial" w:eastAsia="Arial" w:hAnsi="Arial" w:cs="Arial"/>
          <w:spacing w:val="1"/>
        </w:rPr>
        <w:t>e</w:t>
      </w:r>
      <w:r w:rsidR="003B0FA3" w:rsidRPr="003D4E19">
        <w:rPr>
          <w:rFonts w:ascii="Arial" w:eastAsia="Arial" w:hAnsi="Arial" w:cs="Arial"/>
        </w:rPr>
        <w:t>s.</w:t>
      </w:r>
      <w:r w:rsidR="0027074F">
        <w:rPr>
          <w:rFonts w:ascii="Arial" w:eastAsia="Arial" w:hAnsi="Arial" w:cs="Arial"/>
        </w:rPr>
        <w:t>”</w:t>
      </w:r>
    </w:p>
    <w:p w14:paraId="057E7E48" w14:textId="0BB70B0F" w:rsidR="00A97202" w:rsidRDefault="00632163" w:rsidP="003D4E19">
      <w:pPr>
        <w:tabs>
          <w:tab w:val="left" w:pos="660"/>
        </w:tabs>
        <w:spacing w:line="276" w:lineRule="auto"/>
        <w:ind w:right="339"/>
        <w:jc w:val="both"/>
        <w:rPr>
          <w:rFonts w:ascii="Arial" w:hAnsi="Arial" w:cs="Arial"/>
        </w:rPr>
      </w:pPr>
      <w:r w:rsidRPr="003D4E19">
        <w:rPr>
          <w:rFonts w:ascii="Arial" w:hAnsi="Arial" w:cs="Arial"/>
        </w:rPr>
        <w:t xml:space="preserve">We challenge the assertion that the ability to bring human rights claims leads to uncertainty for armed forces personnel on the front line, and that it leads to second guessing decisions made under pressure. </w:t>
      </w:r>
      <w:r w:rsidR="003B0FA3" w:rsidRPr="003D4E19">
        <w:rPr>
          <w:rFonts w:ascii="Arial" w:hAnsi="Arial" w:cs="Arial"/>
        </w:rPr>
        <w:t>The MoD already enjoy</w:t>
      </w:r>
      <w:r w:rsidRPr="003D4E19">
        <w:rPr>
          <w:rFonts w:ascii="Arial" w:hAnsi="Arial" w:cs="Arial"/>
        </w:rPr>
        <w:t xml:space="preserve">s </w:t>
      </w:r>
      <w:r w:rsidR="003B0FA3" w:rsidRPr="003D4E19">
        <w:rPr>
          <w:rFonts w:ascii="Arial" w:hAnsi="Arial" w:cs="Arial"/>
        </w:rPr>
        <w:t xml:space="preserve">a blanket ban on claims brought </w:t>
      </w:r>
      <w:r w:rsidR="002924C1">
        <w:rPr>
          <w:rFonts w:ascii="Arial" w:hAnsi="Arial" w:cs="Arial"/>
        </w:rPr>
        <w:t>in relation to combat and this principle of “combat immunity” will always protect it from civil actions related</w:t>
      </w:r>
      <w:r w:rsidR="003B0FA3" w:rsidRPr="003D4E19">
        <w:rPr>
          <w:rFonts w:ascii="Arial" w:hAnsi="Arial" w:cs="Arial"/>
        </w:rPr>
        <w:t xml:space="preserve"> </w:t>
      </w:r>
      <w:r w:rsidR="002924C1">
        <w:rPr>
          <w:rFonts w:ascii="Arial" w:hAnsi="Arial" w:cs="Arial"/>
        </w:rPr>
        <w:t xml:space="preserve">to </w:t>
      </w:r>
      <w:r w:rsidR="003B0FA3" w:rsidRPr="003D4E19">
        <w:rPr>
          <w:rFonts w:ascii="Arial" w:hAnsi="Arial" w:cs="Arial"/>
        </w:rPr>
        <w:t>decisions made in combat</w:t>
      </w:r>
      <w:r w:rsidR="002924C1">
        <w:rPr>
          <w:rFonts w:ascii="Arial" w:hAnsi="Arial" w:cs="Arial"/>
        </w:rPr>
        <w:t>.</w:t>
      </w:r>
      <w:r w:rsidR="003B0FA3" w:rsidRPr="003D4E19">
        <w:rPr>
          <w:rFonts w:ascii="Arial" w:hAnsi="Arial" w:cs="Arial"/>
        </w:rPr>
        <w:t xml:space="preserve"> There are already clear rules in place to prevent claims being brought for decisions made in the heat of battle</w:t>
      </w:r>
      <w:r w:rsidR="002924C1">
        <w:rPr>
          <w:rFonts w:ascii="Arial" w:hAnsi="Arial" w:cs="Arial"/>
        </w:rPr>
        <w:t xml:space="preserve"> and this has recently been buttressed by the Overseas Operations Act </w:t>
      </w:r>
      <w:r w:rsidR="00A97202">
        <w:rPr>
          <w:rFonts w:ascii="Arial" w:hAnsi="Arial" w:cs="Arial"/>
        </w:rPr>
        <w:t xml:space="preserve">2021 – mentioned below </w:t>
      </w:r>
      <w:r w:rsidR="002924C1">
        <w:rPr>
          <w:rFonts w:ascii="Arial" w:hAnsi="Arial" w:cs="Arial"/>
        </w:rPr>
        <w:t>– an Act designed to limit further the abili</w:t>
      </w:r>
      <w:r w:rsidR="00A97202">
        <w:rPr>
          <w:rFonts w:ascii="Arial" w:hAnsi="Arial" w:cs="Arial"/>
        </w:rPr>
        <w:t>ty of such claims, including Human Rights Act claims</w:t>
      </w:r>
      <w:r w:rsidR="003B0FA3" w:rsidRPr="003D4E19">
        <w:rPr>
          <w:rFonts w:ascii="Arial" w:hAnsi="Arial" w:cs="Arial"/>
        </w:rPr>
        <w:t xml:space="preserve">. It is </w:t>
      </w:r>
      <w:r w:rsidRPr="003D4E19">
        <w:rPr>
          <w:rFonts w:ascii="Arial" w:hAnsi="Arial" w:cs="Arial"/>
        </w:rPr>
        <w:t xml:space="preserve">simply </w:t>
      </w:r>
      <w:r w:rsidR="003B0FA3" w:rsidRPr="003D4E19">
        <w:rPr>
          <w:rFonts w:ascii="Arial" w:hAnsi="Arial" w:cs="Arial"/>
        </w:rPr>
        <w:t xml:space="preserve">not correct </w:t>
      </w:r>
      <w:r w:rsidR="00AD25AE" w:rsidRPr="00036E3E">
        <w:rPr>
          <w:rFonts w:ascii="Arial" w:hAnsi="Arial" w:cs="Arial"/>
        </w:rPr>
        <w:t xml:space="preserve">and potentially misleading </w:t>
      </w:r>
      <w:r w:rsidR="003B0FA3" w:rsidRPr="003D4E19">
        <w:rPr>
          <w:rFonts w:ascii="Arial" w:hAnsi="Arial" w:cs="Arial"/>
        </w:rPr>
        <w:t>to imply that the MoD is at risk of being taken to court for decisions made on the front line.</w:t>
      </w:r>
      <w:r w:rsidR="002924C1">
        <w:rPr>
          <w:rFonts w:ascii="Arial" w:hAnsi="Arial" w:cs="Arial"/>
        </w:rPr>
        <w:t xml:space="preserve"> There is no objective evidence to support this </w:t>
      </w:r>
      <w:r w:rsidR="00A97202">
        <w:rPr>
          <w:rFonts w:ascii="Arial" w:hAnsi="Arial" w:cs="Arial"/>
        </w:rPr>
        <w:t>suggestion and it also</w:t>
      </w:r>
      <w:r w:rsidR="002924C1">
        <w:rPr>
          <w:rFonts w:ascii="Arial" w:hAnsi="Arial" w:cs="Arial"/>
        </w:rPr>
        <w:t xml:space="preserve"> does not take into account the already robust legal protections</w:t>
      </w:r>
      <w:r w:rsidR="00933917">
        <w:rPr>
          <w:rFonts w:ascii="Arial" w:hAnsi="Arial" w:cs="Arial"/>
        </w:rPr>
        <w:t xml:space="preserve"> the MoD has in place.</w:t>
      </w:r>
      <w:r w:rsidR="002924C1">
        <w:rPr>
          <w:rFonts w:ascii="Arial" w:hAnsi="Arial" w:cs="Arial"/>
        </w:rPr>
        <w:t xml:space="preserve"> </w:t>
      </w:r>
    </w:p>
    <w:p w14:paraId="60BF3073" w14:textId="4734FF3A" w:rsidR="00A97202" w:rsidRPr="003D4E19" w:rsidRDefault="00A97202" w:rsidP="003D4E19">
      <w:pPr>
        <w:tabs>
          <w:tab w:val="left" w:pos="660"/>
        </w:tabs>
        <w:spacing w:line="276" w:lineRule="auto"/>
        <w:ind w:right="339"/>
        <w:jc w:val="both"/>
        <w:rPr>
          <w:rFonts w:ascii="Arial" w:hAnsi="Arial" w:cs="Arial"/>
        </w:rPr>
      </w:pPr>
      <w:r>
        <w:rPr>
          <w:rFonts w:ascii="Arial" w:hAnsi="Arial" w:cs="Arial"/>
        </w:rPr>
        <w:lastRenderedPageBreak/>
        <w:t>The reality is that the vast majority of claims brought against the MoD have nothing to do with combat. The MoD faced 3,431 claims for the financial year 2020/21 alone</w:t>
      </w:r>
      <w:r w:rsidR="00036E3E">
        <w:rPr>
          <w:rFonts w:ascii="Arial" w:hAnsi="Arial" w:cs="Arial"/>
        </w:rPr>
        <w:t xml:space="preserve"> </w:t>
      </w:r>
      <w:r w:rsidR="00481C97">
        <w:rPr>
          <w:rStyle w:val="FootnoteReference"/>
          <w:rFonts w:ascii="Arial" w:hAnsi="Arial" w:cs="Arial"/>
        </w:rPr>
        <w:footnoteReference w:id="2"/>
      </w:r>
      <w:r w:rsidR="00036E3E">
        <w:rPr>
          <w:rFonts w:ascii="Arial" w:hAnsi="Arial" w:cs="Arial"/>
        </w:rPr>
        <w:t xml:space="preserve">. </w:t>
      </w:r>
      <w:r w:rsidR="00095ACA">
        <w:rPr>
          <w:rFonts w:ascii="Arial" w:hAnsi="Arial" w:cs="Arial"/>
        </w:rPr>
        <w:t>In</w:t>
      </w:r>
      <w:r w:rsidR="00933917">
        <w:rPr>
          <w:rFonts w:ascii="Arial" w:hAnsi="Arial" w:cs="Arial"/>
        </w:rPr>
        <w:t xml:space="preserve"> our members’ experience, </w:t>
      </w:r>
      <w:r w:rsidR="00481C97">
        <w:rPr>
          <w:rFonts w:ascii="Arial" w:hAnsi="Arial" w:cs="Arial"/>
        </w:rPr>
        <w:t xml:space="preserve">the vast majority of claims relate to those brought by Service personal and/or their families against the MoD for acts </w:t>
      </w:r>
      <w:r w:rsidR="00AD25AE" w:rsidRPr="00095ACA">
        <w:rPr>
          <w:rFonts w:ascii="Arial" w:hAnsi="Arial" w:cs="Arial"/>
        </w:rPr>
        <w:t>occurring</w:t>
      </w:r>
      <w:r w:rsidR="00AD25AE">
        <w:rPr>
          <w:rFonts w:ascii="Arial" w:hAnsi="Arial" w:cs="Arial"/>
        </w:rPr>
        <w:t xml:space="preserve"> </w:t>
      </w:r>
      <w:r w:rsidR="00481C97">
        <w:rPr>
          <w:rFonts w:ascii="Arial" w:hAnsi="Arial" w:cs="Arial"/>
        </w:rPr>
        <w:t xml:space="preserve">in this jurisdiction and in circumstances which have nothing to do with combat and everything to do with breaches of statutory duties, including the Human Rights Act. </w:t>
      </w:r>
    </w:p>
    <w:p w14:paraId="21B290A2" w14:textId="0F37BC01" w:rsidR="003B0FA3" w:rsidRPr="00036E3E" w:rsidRDefault="003B0FA3" w:rsidP="003D4E19">
      <w:pPr>
        <w:tabs>
          <w:tab w:val="left" w:pos="660"/>
        </w:tabs>
        <w:spacing w:line="276" w:lineRule="auto"/>
        <w:ind w:right="339"/>
        <w:jc w:val="both"/>
        <w:rPr>
          <w:rFonts w:ascii="Arial" w:hAnsi="Arial" w:cs="Arial"/>
        </w:rPr>
      </w:pPr>
      <w:r w:rsidRPr="003D4E19">
        <w:rPr>
          <w:rFonts w:ascii="Arial" w:hAnsi="Arial" w:cs="Arial"/>
        </w:rPr>
        <w:t xml:space="preserve">We would </w:t>
      </w:r>
      <w:r w:rsidR="0081012F" w:rsidRPr="003D4E19">
        <w:rPr>
          <w:rFonts w:ascii="Arial" w:hAnsi="Arial" w:cs="Arial"/>
        </w:rPr>
        <w:t xml:space="preserve">also </w:t>
      </w:r>
      <w:r w:rsidR="00632163" w:rsidRPr="003D4E19">
        <w:rPr>
          <w:rFonts w:ascii="Arial" w:hAnsi="Arial" w:cs="Arial"/>
        </w:rPr>
        <w:t xml:space="preserve">challenge the suggestion that the </w:t>
      </w:r>
      <w:r w:rsidR="00A97202">
        <w:rPr>
          <w:rFonts w:ascii="Arial" w:hAnsi="Arial" w:cs="Arial"/>
        </w:rPr>
        <w:t>MoD</w:t>
      </w:r>
      <w:r w:rsidR="00632163" w:rsidRPr="003D4E19">
        <w:rPr>
          <w:rFonts w:ascii="Arial" w:hAnsi="Arial" w:cs="Arial"/>
        </w:rPr>
        <w:t xml:space="preserve"> needs to be protected from human rights claims for actions taking place overseas. There are in fact</w:t>
      </w:r>
      <w:r w:rsidR="00632163" w:rsidRPr="00036E3E">
        <w:rPr>
          <w:rFonts w:ascii="Arial" w:hAnsi="Arial" w:cs="Arial"/>
        </w:rPr>
        <w:t xml:space="preserve"> </w:t>
      </w:r>
      <w:r w:rsidR="00AD25AE" w:rsidRPr="00036E3E">
        <w:rPr>
          <w:rFonts w:ascii="Arial" w:hAnsi="Arial" w:cs="Arial"/>
        </w:rPr>
        <w:t>frequent</w:t>
      </w:r>
      <w:r w:rsidR="00B46F1D" w:rsidRPr="00036E3E">
        <w:rPr>
          <w:rFonts w:ascii="Arial" w:hAnsi="Arial" w:cs="Arial"/>
        </w:rPr>
        <w:t xml:space="preserve"> </w:t>
      </w:r>
      <w:r w:rsidR="00632163" w:rsidRPr="003D4E19">
        <w:rPr>
          <w:rFonts w:ascii="Arial" w:hAnsi="Arial" w:cs="Arial"/>
        </w:rPr>
        <w:t xml:space="preserve">circumstances in which armed forces personnel are posted overseas, </w:t>
      </w:r>
      <w:r w:rsidR="00933917">
        <w:rPr>
          <w:rFonts w:ascii="Arial" w:hAnsi="Arial" w:cs="Arial"/>
        </w:rPr>
        <w:t>but</w:t>
      </w:r>
      <w:r w:rsidR="00095ACA">
        <w:rPr>
          <w:rFonts w:ascii="Arial" w:hAnsi="Arial" w:cs="Arial"/>
        </w:rPr>
        <w:t xml:space="preserve"> </w:t>
      </w:r>
      <w:r w:rsidR="00632163" w:rsidRPr="003D4E19">
        <w:rPr>
          <w:rFonts w:ascii="Arial" w:hAnsi="Arial" w:cs="Arial"/>
        </w:rPr>
        <w:t xml:space="preserve">are not involved in armed conflict and so the principle of combat immunity does not apply. For example, if personnel are undertaking training </w:t>
      </w:r>
      <w:r w:rsidR="00346E74" w:rsidRPr="003D4E19">
        <w:rPr>
          <w:rFonts w:ascii="Arial" w:hAnsi="Arial" w:cs="Arial"/>
        </w:rPr>
        <w:t xml:space="preserve">or accessing medical facilities </w:t>
      </w:r>
      <w:r w:rsidR="00632163" w:rsidRPr="003D4E19">
        <w:rPr>
          <w:rFonts w:ascii="Arial" w:hAnsi="Arial" w:cs="Arial"/>
        </w:rPr>
        <w:t>at a UK Army base in Cyprus,</w:t>
      </w:r>
      <w:r w:rsidR="00346E74" w:rsidRPr="003D4E19">
        <w:rPr>
          <w:rFonts w:ascii="Arial" w:hAnsi="Arial" w:cs="Arial"/>
        </w:rPr>
        <w:t xml:space="preserve"> this is not a combat situation, and if there is a violation of the personnel’s human rights, they should be able to pursue a claim. </w:t>
      </w:r>
      <w:r w:rsidR="0081012F" w:rsidRPr="003D4E19">
        <w:rPr>
          <w:rFonts w:ascii="Arial" w:hAnsi="Arial" w:cs="Arial"/>
        </w:rPr>
        <w:t>The fact that a service person is simply</w:t>
      </w:r>
      <w:r w:rsidR="00346E74" w:rsidRPr="003D4E19">
        <w:rPr>
          <w:rFonts w:ascii="Arial" w:hAnsi="Arial" w:cs="Arial"/>
        </w:rPr>
        <w:t xml:space="preserve"> overseas is not a sufficient justification for restricting rights, and there is a danger that if these claims cannot be brought, then </w:t>
      </w:r>
      <w:r w:rsidR="0081012F" w:rsidRPr="003D4E19">
        <w:rPr>
          <w:rFonts w:ascii="Arial" w:hAnsi="Arial" w:cs="Arial"/>
        </w:rPr>
        <w:t xml:space="preserve">human rights violations in these situations will increase because the MoD will no longer be held to account. </w:t>
      </w:r>
    </w:p>
    <w:p w14:paraId="5A635D0F" w14:textId="1DF2576D" w:rsidR="00E937D2" w:rsidRPr="003D4E19" w:rsidRDefault="00E937D2" w:rsidP="003D4E19">
      <w:pPr>
        <w:tabs>
          <w:tab w:val="left" w:pos="660"/>
        </w:tabs>
        <w:spacing w:line="276" w:lineRule="auto"/>
        <w:ind w:right="339"/>
        <w:jc w:val="both"/>
        <w:rPr>
          <w:rFonts w:ascii="Arial" w:hAnsi="Arial" w:cs="Arial"/>
        </w:rPr>
      </w:pPr>
      <w:r w:rsidRPr="003D4E19">
        <w:rPr>
          <w:rFonts w:ascii="Arial" w:eastAsia="Arial" w:hAnsi="Arial" w:cs="Arial"/>
        </w:rPr>
        <w:t>Th</w:t>
      </w:r>
      <w:r w:rsidR="0081012F" w:rsidRPr="003D4E19">
        <w:rPr>
          <w:rFonts w:ascii="Arial" w:eastAsia="Arial" w:hAnsi="Arial" w:cs="Arial"/>
        </w:rPr>
        <w:t>e</w:t>
      </w:r>
      <w:r w:rsidRPr="003D4E19">
        <w:rPr>
          <w:rFonts w:ascii="Arial" w:eastAsia="Arial" w:hAnsi="Arial" w:cs="Arial"/>
        </w:rPr>
        <w:t xml:space="preserve"> idea that any such changes and restrictions on the ability to bring a human rights claim would be of benefit to armed forces personnel echoes the rationale for the Overseas Operations (Service Personnel and Veterans) Act 2021. During consultation and throughout the </w:t>
      </w:r>
      <w:r w:rsidR="0081012F" w:rsidRPr="003D4E19">
        <w:rPr>
          <w:rFonts w:ascii="Arial" w:eastAsia="Arial" w:hAnsi="Arial" w:cs="Arial"/>
        </w:rPr>
        <w:t>Bill’s progression through Parliament</w:t>
      </w:r>
      <w:r w:rsidRPr="003D4E19">
        <w:rPr>
          <w:rFonts w:ascii="Arial" w:eastAsia="Arial" w:hAnsi="Arial" w:cs="Arial"/>
        </w:rPr>
        <w:t xml:space="preserve">, the Government maintained that the introduction of a </w:t>
      </w:r>
      <w:proofErr w:type="gramStart"/>
      <w:r w:rsidRPr="003D4E19">
        <w:rPr>
          <w:rFonts w:ascii="Arial" w:eastAsia="Arial" w:hAnsi="Arial" w:cs="Arial"/>
        </w:rPr>
        <w:t>six year</w:t>
      </w:r>
      <w:proofErr w:type="gramEnd"/>
      <w:r w:rsidRPr="003D4E19">
        <w:rPr>
          <w:rFonts w:ascii="Arial" w:eastAsia="Arial" w:hAnsi="Arial" w:cs="Arial"/>
        </w:rPr>
        <w:t xml:space="preserve"> absolute limit on bringing claims against the </w:t>
      </w:r>
      <w:r w:rsidR="00095ACA" w:rsidRPr="00095ACA">
        <w:rPr>
          <w:rFonts w:ascii="Arial" w:eastAsia="Arial" w:hAnsi="Arial" w:cs="Arial"/>
        </w:rPr>
        <w:t>MoD</w:t>
      </w:r>
      <w:r w:rsidRPr="00095ACA">
        <w:rPr>
          <w:rFonts w:ascii="Arial" w:eastAsia="Arial" w:hAnsi="Arial" w:cs="Arial"/>
        </w:rPr>
        <w:t xml:space="preserve"> </w:t>
      </w:r>
      <w:r w:rsidRPr="003D4E19">
        <w:rPr>
          <w:rFonts w:ascii="Arial" w:eastAsia="Arial" w:hAnsi="Arial" w:cs="Arial"/>
        </w:rPr>
        <w:t xml:space="preserve">would be of benefit to service personnel. </w:t>
      </w:r>
      <w:r w:rsidRPr="003D4E19">
        <w:rPr>
          <w:rFonts w:ascii="Arial" w:hAnsi="Arial" w:cs="Arial"/>
        </w:rPr>
        <w:t>This was not only misleading and false but contrary to the Armed Forces Covenant and the promise to treat service personnel fairly. It is insulting that the Government continues to attempt to fetter</w:t>
      </w:r>
      <w:r w:rsidR="00B46F1D">
        <w:rPr>
          <w:rFonts w:ascii="Arial" w:hAnsi="Arial" w:cs="Arial"/>
        </w:rPr>
        <w:t xml:space="preserve"> </w:t>
      </w:r>
      <w:r w:rsidR="00B46F1D" w:rsidRPr="00095ACA">
        <w:rPr>
          <w:rFonts w:ascii="Arial" w:hAnsi="Arial" w:cs="Arial"/>
        </w:rPr>
        <w:t>the Court’s discretion together with</w:t>
      </w:r>
      <w:r w:rsidRPr="00095ACA">
        <w:rPr>
          <w:rFonts w:ascii="Arial" w:hAnsi="Arial" w:cs="Arial"/>
        </w:rPr>
        <w:t xml:space="preserve"> </w:t>
      </w:r>
      <w:r w:rsidRPr="003D4E19">
        <w:rPr>
          <w:rFonts w:ascii="Arial" w:hAnsi="Arial" w:cs="Arial"/>
        </w:rPr>
        <w:t xml:space="preserve">the ability of armed forces personnel to bring claims against the MoD, and to hold the MoD to account, under the guise of being for the armed forces personnel’s benefit. </w:t>
      </w:r>
      <w:r w:rsidR="00EF2B55" w:rsidRPr="003D4E19">
        <w:rPr>
          <w:rFonts w:ascii="Arial" w:hAnsi="Arial" w:cs="Arial"/>
        </w:rPr>
        <w:t xml:space="preserve">A similar approach was taken in 2016 when the MoD published the “Better Combat Compensation” consultation, which sought to enshrine combat immunity in legislation, while at the same time extending its scope to allow the MoD to escape scrutiny in a wider range of situations that would currently be outside of the scope of combat immunity. The current law strikes the correct balance between holding the MoD to account, providing compensation to those who are injured and the families of those who have lost their lives, and recognising that the heat of battle is a unique circumstance. It is simply not the case that there has been judicialization of warfare, or that those on the front line are affected in their decision making by threats of civil action. Instead, the current law strikes the correct balance between holding the MoD to account, and ensuring that decisions made in combat are not the subject of civil claims. </w:t>
      </w:r>
    </w:p>
    <w:p w14:paraId="30F5E9DB" w14:textId="24B80C3C" w:rsidR="00980D06" w:rsidRPr="003D4E19" w:rsidRDefault="00590DDE" w:rsidP="003D4E19">
      <w:pPr>
        <w:tabs>
          <w:tab w:val="left" w:pos="660"/>
        </w:tabs>
        <w:spacing w:line="276" w:lineRule="auto"/>
        <w:ind w:right="339"/>
        <w:jc w:val="both"/>
        <w:rPr>
          <w:rFonts w:ascii="Arial" w:hAnsi="Arial" w:cs="Arial"/>
        </w:rPr>
      </w:pPr>
      <w:r w:rsidRPr="003D4E19">
        <w:rPr>
          <w:rFonts w:ascii="Arial" w:hAnsi="Arial" w:cs="Arial"/>
        </w:rPr>
        <w:t xml:space="preserve">We would also disagree with </w:t>
      </w:r>
      <w:r w:rsidRPr="003D4E19">
        <w:rPr>
          <w:rFonts w:ascii="Arial" w:eastAsia="Arial" w:hAnsi="Arial" w:cs="Arial"/>
        </w:rPr>
        <w:t>paragraph 134, which states “T</w:t>
      </w:r>
      <w:r w:rsidRPr="003D4E19">
        <w:rPr>
          <w:rFonts w:ascii="Arial" w:eastAsia="Arial" w:hAnsi="Arial" w:cs="Arial"/>
          <w:spacing w:val="1"/>
        </w:rPr>
        <w:t>h</w:t>
      </w:r>
      <w:r w:rsidRPr="003D4E19">
        <w:rPr>
          <w:rFonts w:ascii="Arial" w:eastAsia="Arial" w:hAnsi="Arial" w:cs="Arial"/>
        </w:rPr>
        <w:t>e</w:t>
      </w:r>
      <w:r w:rsidRPr="003D4E19">
        <w:rPr>
          <w:rFonts w:ascii="Arial" w:eastAsia="Arial" w:hAnsi="Arial" w:cs="Arial"/>
          <w:spacing w:val="2"/>
        </w:rPr>
        <w:t xml:space="preserve"> </w:t>
      </w:r>
      <w:r w:rsidRPr="003D4E19">
        <w:rPr>
          <w:rFonts w:ascii="Arial" w:eastAsia="Arial" w:hAnsi="Arial" w:cs="Arial"/>
        </w:rPr>
        <w:t>sc</w:t>
      </w:r>
      <w:r w:rsidRPr="003D4E19">
        <w:rPr>
          <w:rFonts w:ascii="Arial" w:eastAsia="Arial" w:hAnsi="Arial" w:cs="Arial"/>
          <w:spacing w:val="-1"/>
        </w:rPr>
        <w:t>o</w:t>
      </w:r>
      <w:r w:rsidRPr="003D4E19">
        <w:rPr>
          <w:rFonts w:ascii="Arial" w:eastAsia="Arial" w:hAnsi="Arial" w:cs="Arial"/>
          <w:spacing w:val="1"/>
        </w:rPr>
        <w:t>p</w:t>
      </w:r>
      <w:r w:rsidRPr="003D4E19">
        <w:rPr>
          <w:rFonts w:ascii="Arial" w:eastAsia="Arial" w:hAnsi="Arial" w:cs="Arial"/>
        </w:rPr>
        <w:t>e</w:t>
      </w:r>
      <w:r w:rsidRPr="003D4E19">
        <w:rPr>
          <w:rFonts w:ascii="Arial" w:eastAsia="Arial" w:hAnsi="Arial" w:cs="Arial"/>
          <w:spacing w:val="-1"/>
        </w:rPr>
        <w:t xml:space="preserve"> </w:t>
      </w:r>
      <w:r w:rsidRPr="003D4E19">
        <w:rPr>
          <w:rFonts w:ascii="Arial" w:eastAsia="Arial" w:hAnsi="Arial" w:cs="Arial"/>
          <w:spacing w:val="1"/>
        </w:rPr>
        <w:t>o</w:t>
      </w:r>
      <w:r w:rsidRPr="003D4E19">
        <w:rPr>
          <w:rFonts w:ascii="Arial" w:eastAsia="Arial" w:hAnsi="Arial" w:cs="Arial"/>
        </w:rPr>
        <w:t>f</w:t>
      </w:r>
      <w:r w:rsidRPr="003D4E19">
        <w:rPr>
          <w:rFonts w:ascii="Arial" w:eastAsia="Arial" w:hAnsi="Arial" w:cs="Arial"/>
          <w:spacing w:val="1"/>
        </w:rPr>
        <w:t xml:space="preserve"> </w:t>
      </w:r>
      <w:r w:rsidRPr="003D4E19">
        <w:rPr>
          <w:rFonts w:ascii="Arial" w:eastAsia="Arial" w:hAnsi="Arial" w:cs="Arial"/>
          <w:spacing w:val="-2"/>
        </w:rPr>
        <w:t>t</w:t>
      </w:r>
      <w:r w:rsidRPr="003D4E19">
        <w:rPr>
          <w:rFonts w:ascii="Arial" w:eastAsia="Arial" w:hAnsi="Arial" w:cs="Arial"/>
          <w:spacing w:val="1"/>
        </w:rPr>
        <w:t>h</w:t>
      </w:r>
      <w:r w:rsidRPr="003D4E19">
        <w:rPr>
          <w:rFonts w:ascii="Arial" w:eastAsia="Arial" w:hAnsi="Arial" w:cs="Arial"/>
          <w:spacing w:val="-1"/>
        </w:rPr>
        <w:t>i</w:t>
      </w:r>
      <w:r w:rsidRPr="003D4E19">
        <w:rPr>
          <w:rFonts w:ascii="Arial" w:eastAsia="Arial" w:hAnsi="Arial" w:cs="Arial"/>
        </w:rPr>
        <w:t>s</w:t>
      </w:r>
      <w:r w:rsidRPr="003D4E19">
        <w:rPr>
          <w:rFonts w:ascii="Arial" w:eastAsia="Arial" w:hAnsi="Arial" w:cs="Arial"/>
          <w:spacing w:val="1"/>
        </w:rPr>
        <w:t xml:space="preserve"> ob</w:t>
      </w:r>
      <w:r w:rsidRPr="003D4E19">
        <w:rPr>
          <w:rFonts w:ascii="Arial" w:eastAsia="Arial" w:hAnsi="Arial" w:cs="Arial"/>
          <w:spacing w:val="-1"/>
        </w:rPr>
        <w:t>lig</w:t>
      </w:r>
      <w:r w:rsidRPr="003D4E19">
        <w:rPr>
          <w:rFonts w:ascii="Arial" w:eastAsia="Arial" w:hAnsi="Arial" w:cs="Arial"/>
          <w:spacing w:val="1"/>
        </w:rPr>
        <w:t>a</w:t>
      </w:r>
      <w:r w:rsidRPr="003D4E19">
        <w:rPr>
          <w:rFonts w:ascii="Arial" w:eastAsia="Arial" w:hAnsi="Arial" w:cs="Arial"/>
        </w:rPr>
        <w:t>t</w:t>
      </w:r>
      <w:r w:rsidRPr="003D4E19">
        <w:rPr>
          <w:rFonts w:ascii="Arial" w:eastAsia="Arial" w:hAnsi="Arial" w:cs="Arial"/>
          <w:spacing w:val="-1"/>
        </w:rPr>
        <w:t>i</w:t>
      </w:r>
      <w:r w:rsidRPr="003D4E19">
        <w:rPr>
          <w:rFonts w:ascii="Arial" w:eastAsia="Arial" w:hAnsi="Arial" w:cs="Arial"/>
          <w:spacing w:val="1"/>
        </w:rPr>
        <w:t>o</w:t>
      </w:r>
      <w:r w:rsidRPr="003D4E19">
        <w:rPr>
          <w:rFonts w:ascii="Arial" w:eastAsia="Arial" w:hAnsi="Arial" w:cs="Arial"/>
        </w:rPr>
        <w:t>n</w:t>
      </w:r>
      <w:r w:rsidRPr="003D4E19">
        <w:rPr>
          <w:rFonts w:ascii="Arial" w:eastAsia="Arial" w:hAnsi="Arial" w:cs="Arial"/>
          <w:spacing w:val="-1"/>
        </w:rPr>
        <w:t xml:space="preserve"> </w:t>
      </w:r>
      <w:r w:rsidRPr="003D4E19">
        <w:rPr>
          <w:rFonts w:ascii="Arial" w:eastAsia="Arial" w:hAnsi="Arial" w:cs="Arial"/>
          <w:spacing w:val="1"/>
        </w:rPr>
        <w:t>un</w:t>
      </w:r>
      <w:r w:rsidRPr="003D4E19">
        <w:rPr>
          <w:rFonts w:ascii="Arial" w:eastAsia="Arial" w:hAnsi="Arial" w:cs="Arial"/>
          <w:spacing w:val="-2"/>
        </w:rPr>
        <w:t>d</w:t>
      </w:r>
      <w:r w:rsidRPr="003D4E19">
        <w:rPr>
          <w:rFonts w:ascii="Arial" w:eastAsia="Arial" w:hAnsi="Arial" w:cs="Arial"/>
          <w:spacing w:val="1"/>
        </w:rPr>
        <w:t>er A</w:t>
      </w:r>
      <w:r w:rsidRPr="003D4E19">
        <w:rPr>
          <w:rFonts w:ascii="Arial" w:eastAsia="Arial" w:hAnsi="Arial" w:cs="Arial"/>
          <w:spacing w:val="-1"/>
        </w:rPr>
        <w:t>r</w:t>
      </w:r>
      <w:r w:rsidRPr="003D4E19">
        <w:rPr>
          <w:rFonts w:ascii="Arial" w:eastAsia="Arial" w:hAnsi="Arial" w:cs="Arial"/>
          <w:spacing w:val="1"/>
        </w:rPr>
        <w:t>t</w:t>
      </w:r>
      <w:r w:rsidRPr="003D4E19">
        <w:rPr>
          <w:rFonts w:ascii="Arial" w:eastAsia="Arial" w:hAnsi="Arial" w:cs="Arial"/>
          <w:spacing w:val="-1"/>
        </w:rPr>
        <w:t>i</w:t>
      </w:r>
      <w:r w:rsidRPr="003D4E19">
        <w:rPr>
          <w:rFonts w:ascii="Arial" w:eastAsia="Arial" w:hAnsi="Arial" w:cs="Arial"/>
        </w:rPr>
        <w:t>c</w:t>
      </w:r>
      <w:r w:rsidRPr="003D4E19">
        <w:rPr>
          <w:rFonts w:ascii="Arial" w:eastAsia="Arial" w:hAnsi="Arial" w:cs="Arial"/>
          <w:spacing w:val="-1"/>
        </w:rPr>
        <w:t>l</w:t>
      </w:r>
      <w:r w:rsidRPr="003D4E19">
        <w:rPr>
          <w:rFonts w:ascii="Arial" w:eastAsia="Arial" w:hAnsi="Arial" w:cs="Arial"/>
        </w:rPr>
        <w:t>e</w:t>
      </w:r>
      <w:r w:rsidRPr="003D4E19">
        <w:rPr>
          <w:rFonts w:ascii="Arial" w:eastAsia="Arial" w:hAnsi="Arial" w:cs="Arial"/>
          <w:spacing w:val="2"/>
        </w:rPr>
        <w:t xml:space="preserve"> </w:t>
      </w:r>
      <w:r w:rsidRPr="003D4E19">
        <w:rPr>
          <w:rFonts w:ascii="Arial" w:eastAsia="Arial" w:hAnsi="Arial" w:cs="Arial"/>
        </w:rPr>
        <w:t>2</w:t>
      </w:r>
      <w:r w:rsidRPr="003D4E19">
        <w:rPr>
          <w:rFonts w:ascii="Arial" w:eastAsia="Arial" w:hAnsi="Arial" w:cs="Arial"/>
          <w:spacing w:val="2"/>
        </w:rPr>
        <w:t xml:space="preserve"> </w:t>
      </w:r>
      <w:r w:rsidRPr="003D4E19">
        <w:rPr>
          <w:rFonts w:ascii="Arial" w:eastAsia="Arial" w:hAnsi="Arial" w:cs="Arial"/>
          <w:spacing w:val="-1"/>
        </w:rPr>
        <w:t>re</w:t>
      </w:r>
      <w:r w:rsidRPr="003D4E19">
        <w:rPr>
          <w:rFonts w:ascii="Arial" w:eastAsia="Arial" w:hAnsi="Arial" w:cs="Arial"/>
          <w:spacing w:val="2"/>
        </w:rPr>
        <w:t>m</w:t>
      </w:r>
      <w:r w:rsidRPr="003D4E19">
        <w:rPr>
          <w:rFonts w:ascii="Arial" w:eastAsia="Arial" w:hAnsi="Arial" w:cs="Arial"/>
          <w:spacing w:val="1"/>
        </w:rPr>
        <w:t>a</w:t>
      </w:r>
      <w:r w:rsidRPr="003D4E19">
        <w:rPr>
          <w:rFonts w:ascii="Arial" w:eastAsia="Arial" w:hAnsi="Arial" w:cs="Arial"/>
          <w:spacing w:val="-1"/>
        </w:rPr>
        <w:t>i</w:t>
      </w:r>
      <w:r w:rsidRPr="003D4E19">
        <w:rPr>
          <w:rFonts w:ascii="Arial" w:eastAsia="Arial" w:hAnsi="Arial" w:cs="Arial"/>
          <w:spacing w:val="1"/>
        </w:rPr>
        <w:t>n</w:t>
      </w:r>
      <w:r w:rsidRPr="003D4E19">
        <w:rPr>
          <w:rFonts w:ascii="Arial" w:eastAsia="Arial" w:hAnsi="Arial" w:cs="Arial"/>
        </w:rPr>
        <w:t>s</w:t>
      </w:r>
      <w:r w:rsidRPr="003D4E19">
        <w:rPr>
          <w:rFonts w:ascii="Arial" w:eastAsia="Arial" w:hAnsi="Arial" w:cs="Arial"/>
          <w:spacing w:val="-2"/>
        </w:rPr>
        <w:t xml:space="preserve"> </w:t>
      </w:r>
      <w:r w:rsidRPr="003D4E19">
        <w:rPr>
          <w:rFonts w:ascii="Arial" w:eastAsia="Arial" w:hAnsi="Arial" w:cs="Arial"/>
          <w:spacing w:val="1"/>
        </w:rPr>
        <w:t>un</w:t>
      </w:r>
      <w:r w:rsidRPr="003D4E19">
        <w:rPr>
          <w:rFonts w:ascii="Arial" w:eastAsia="Arial" w:hAnsi="Arial" w:cs="Arial"/>
          <w:spacing w:val="-2"/>
        </w:rPr>
        <w:t>c</w:t>
      </w:r>
      <w:r w:rsidRPr="003D4E19">
        <w:rPr>
          <w:rFonts w:ascii="Arial" w:eastAsia="Arial" w:hAnsi="Arial" w:cs="Arial"/>
          <w:spacing w:val="1"/>
        </w:rPr>
        <w:t>e</w:t>
      </w:r>
      <w:r w:rsidRPr="003D4E19">
        <w:rPr>
          <w:rFonts w:ascii="Arial" w:eastAsia="Arial" w:hAnsi="Arial" w:cs="Arial"/>
          <w:spacing w:val="-1"/>
        </w:rPr>
        <w:t>r</w:t>
      </w:r>
      <w:r w:rsidRPr="003D4E19">
        <w:rPr>
          <w:rFonts w:ascii="Arial" w:eastAsia="Arial" w:hAnsi="Arial" w:cs="Arial"/>
        </w:rPr>
        <w:t>t</w:t>
      </w:r>
      <w:r w:rsidRPr="003D4E19">
        <w:rPr>
          <w:rFonts w:ascii="Arial" w:eastAsia="Arial" w:hAnsi="Arial" w:cs="Arial"/>
          <w:spacing w:val="1"/>
        </w:rPr>
        <w:t>a</w:t>
      </w:r>
      <w:r w:rsidRPr="003D4E19">
        <w:rPr>
          <w:rFonts w:ascii="Arial" w:eastAsia="Arial" w:hAnsi="Arial" w:cs="Arial"/>
          <w:spacing w:val="-1"/>
        </w:rPr>
        <w:t>i</w:t>
      </w:r>
      <w:r w:rsidRPr="003D4E19">
        <w:rPr>
          <w:rFonts w:ascii="Arial" w:eastAsia="Arial" w:hAnsi="Arial" w:cs="Arial"/>
        </w:rPr>
        <w:t>n</w:t>
      </w:r>
      <w:r w:rsidRPr="003D4E19">
        <w:rPr>
          <w:rFonts w:ascii="Arial" w:eastAsia="Arial" w:hAnsi="Arial" w:cs="Arial"/>
          <w:spacing w:val="2"/>
        </w:rPr>
        <w:t xml:space="preserve"> </w:t>
      </w:r>
      <w:r w:rsidRPr="003D4E19">
        <w:rPr>
          <w:rFonts w:ascii="Arial" w:eastAsia="Arial" w:hAnsi="Arial" w:cs="Arial"/>
          <w:spacing w:val="-1"/>
        </w:rPr>
        <w:t>a</w:t>
      </w:r>
      <w:r w:rsidRPr="003D4E19">
        <w:rPr>
          <w:rFonts w:ascii="Arial" w:eastAsia="Arial" w:hAnsi="Arial" w:cs="Arial"/>
          <w:spacing w:val="1"/>
        </w:rPr>
        <w:t>n</w:t>
      </w:r>
      <w:r w:rsidRPr="003D4E19">
        <w:rPr>
          <w:rFonts w:ascii="Arial" w:eastAsia="Arial" w:hAnsi="Arial" w:cs="Arial"/>
        </w:rPr>
        <w:t>d</w:t>
      </w:r>
      <w:r w:rsidRPr="003D4E19">
        <w:rPr>
          <w:rFonts w:ascii="Arial" w:eastAsia="Arial" w:hAnsi="Arial" w:cs="Arial"/>
          <w:spacing w:val="2"/>
        </w:rPr>
        <w:t xml:space="preserve"> </w:t>
      </w:r>
      <w:r w:rsidRPr="003D4E19">
        <w:rPr>
          <w:rFonts w:ascii="Arial" w:eastAsia="Arial" w:hAnsi="Arial" w:cs="Arial"/>
          <w:spacing w:val="-1"/>
        </w:rPr>
        <w:t>i</w:t>
      </w:r>
      <w:r w:rsidRPr="003D4E19">
        <w:rPr>
          <w:rFonts w:ascii="Arial" w:eastAsia="Arial" w:hAnsi="Arial" w:cs="Arial"/>
        </w:rPr>
        <w:t>t</w:t>
      </w:r>
      <w:r w:rsidRPr="003D4E19">
        <w:rPr>
          <w:rFonts w:ascii="Arial" w:eastAsia="Arial" w:hAnsi="Arial" w:cs="Arial"/>
          <w:spacing w:val="-1"/>
        </w:rPr>
        <w:t xml:space="preserve"> i</w:t>
      </w:r>
      <w:r w:rsidRPr="003D4E19">
        <w:rPr>
          <w:rFonts w:ascii="Arial" w:eastAsia="Arial" w:hAnsi="Arial" w:cs="Arial"/>
        </w:rPr>
        <w:t>s</w:t>
      </w:r>
      <w:r w:rsidRPr="003D4E19">
        <w:rPr>
          <w:rFonts w:ascii="Arial" w:eastAsia="Arial" w:hAnsi="Arial" w:cs="Arial"/>
          <w:spacing w:val="1"/>
        </w:rPr>
        <w:t xml:space="preserve"> n</w:t>
      </w:r>
      <w:r w:rsidRPr="003D4E19">
        <w:rPr>
          <w:rFonts w:ascii="Arial" w:eastAsia="Arial" w:hAnsi="Arial" w:cs="Arial"/>
          <w:spacing w:val="-2"/>
        </w:rPr>
        <w:t>o</w:t>
      </w:r>
      <w:r w:rsidRPr="003D4E19">
        <w:rPr>
          <w:rFonts w:ascii="Arial" w:eastAsia="Arial" w:hAnsi="Arial" w:cs="Arial"/>
        </w:rPr>
        <w:t>t</w:t>
      </w:r>
      <w:r w:rsidRPr="003D4E19">
        <w:rPr>
          <w:rFonts w:ascii="Arial" w:eastAsia="Arial" w:hAnsi="Arial" w:cs="Arial"/>
          <w:spacing w:val="1"/>
        </w:rPr>
        <w:t xml:space="preserve"> a</w:t>
      </w:r>
      <w:r w:rsidRPr="003D4E19">
        <w:rPr>
          <w:rFonts w:ascii="Arial" w:eastAsia="Arial" w:hAnsi="Arial" w:cs="Arial"/>
          <w:spacing w:val="-1"/>
        </w:rPr>
        <w:t>lw</w:t>
      </w:r>
      <w:r w:rsidRPr="003D4E19">
        <w:rPr>
          <w:rFonts w:ascii="Arial" w:eastAsia="Arial" w:hAnsi="Arial" w:cs="Arial"/>
          <w:spacing w:val="1"/>
        </w:rPr>
        <w:t>a</w:t>
      </w:r>
      <w:r w:rsidRPr="003D4E19">
        <w:rPr>
          <w:rFonts w:ascii="Arial" w:eastAsia="Arial" w:hAnsi="Arial" w:cs="Arial"/>
          <w:spacing w:val="-2"/>
        </w:rPr>
        <w:t>y</w:t>
      </w:r>
      <w:r w:rsidRPr="003D4E19">
        <w:rPr>
          <w:rFonts w:ascii="Arial" w:eastAsia="Arial" w:hAnsi="Arial" w:cs="Arial"/>
        </w:rPr>
        <w:t>s</w:t>
      </w:r>
      <w:r w:rsidRPr="003D4E19">
        <w:rPr>
          <w:rFonts w:ascii="Arial" w:eastAsia="Arial" w:hAnsi="Arial" w:cs="Arial"/>
          <w:spacing w:val="1"/>
        </w:rPr>
        <w:t xml:space="preserve"> </w:t>
      </w:r>
      <w:r w:rsidRPr="003D4E19">
        <w:rPr>
          <w:rFonts w:ascii="Arial" w:eastAsia="Arial" w:hAnsi="Arial" w:cs="Arial"/>
        </w:rPr>
        <w:t>c</w:t>
      </w:r>
      <w:r w:rsidRPr="003D4E19">
        <w:rPr>
          <w:rFonts w:ascii="Arial" w:eastAsia="Arial" w:hAnsi="Arial" w:cs="Arial"/>
          <w:spacing w:val="-1"/>
        </w:rPr>
        <w:t>l</w:t>
      </w:r>
      <w:r w:rsidRPr="003D4E19">
        <w:rPr>
          <w:rFonts w:ascii="Arial" w:eastAsia="Arial" w:hAnsi="Arial" w:cs="Arial"/>
          <w:spacing w:val="1"/>
        </w:rPr>
        <w:t>ea</w:t>
      </w:r>
      <w:r w:rsidRPr="003D4E19">
        <w:rPr>
          <w:rFonts w:ascii="Arial" w:eastAsia="Arial" w:hAnsi="Arial" w:cs="Arial"/>
        </w:rPr>
        <w:t xml:space="preserve">r </w:t>
      </w:r>
      <w:r w:rsidRPr="003D4E19">
        <w:rPr>
          <w:rFonts w:ascii="Arial" w:eastAsia="Arial" w:hAnsi="Arial" w:cs="Arial"/>
          <w:spacing w:val="-1"/>
        </w:rPr>
        <w:t>w</w:t>
      </w:r>
      <w:r w:rsidRPr="003D4E19">
        <w:rPr>
          <w:rFonts w:ascii="Arial" w:eastAsia="Arial" w:hAnsi="Arial" w:cs="Arial"/>
          <w:spacing w:val="1"/>
        </w:rPr>
        <w:t>h</w:t>
      </w:r>
      <w:r w:rsidRPr="003D4E19">
        <w:rPr>
          <w:rFonts w:ascii="Arial" w:eastAsia="Arial" w:hAnsi="Arial" w:cs="Arial"/>
          <w:spacing w:val="-2"/>
        </w:rPr>
        <w:t>e</w:t>
      </w:r>
      <w:r w:rsidRPr="003D4E19">
        <w:rPr>
          <w:rFonts w:ascii="Arial" w:eastAsia="Arial" w:hAnsi="Arial" w:cs="Arial"/>
        </w:rPr>
        <w:t>n</w:t>
      </w:r>
      <w:r w:rsidRPr="003D4E19">
        <w:rPr>
          <w:rFonts w:ascii="Arial" w:eastAsia="Arial" w:hAnsi="Arial" w:cs="Arial"/>
          <w:spacing w:val="2"/>
        </w:rPr>
        <w:t xml:space="preserve"> </w:t>
      </w:r>
      <w:r w:rsidRPr="003D4E19">
        <w:rPr>
          <w:rFonts w:ascii="Arial" w:eastAsia="Arial" w:hAnsi="Arial" w:cs="Arial"/>
          <w:spacing w:val="-1"/>
        </w:rPr>
        <w:t>i</w:t>
      </w:r>
      <w:r w:rsidRPr="003D4E19">
        <w:rPr>
          <w:rFonts w:ascii="Arial" w:eastAsia="Arial" w:hAnsi="Arial" w:cs="Arial"/>
        </w:rPr>
        <w:t>t</w:t>
      </w:r>
      <w:r w:rsidRPr="003D4E19">
        <w:rPr>
          <w:rFonts w:ascii="Arial" w:eastAsia="Arial" w:hAnsi="Arial" w:cs="Arial"/>
          <w:spacing w:val="1"/>
        </w:rPr>
        <w:t xml:space="preserve"> </w:t>
      </w:r>
      <w:r w:rsidRPr="003D4E19">
        <w:rPr>
          <w:rFonts w:ascii="Arial" w:eastAsia="Arial" w:hAnsi="Arial" w:cs="Arial"/>
          <w:spacing w:val="-1"/>
        </w:rPr>
        <w:t>a</w:t>
      </w:r>
      <w:r w:rsidRPr="003D4E19">
        <w:rPr>
          <w:rFonts w:ascii="Arial" w:eastAsia="Arial" w:hAnsi="Arial" w:cs="Arial"/>
          <w:spacing w:val="1"/>
        </w:rPr>
        <w:t>pp</w:t>
      </w:r>
      <w:r w:rsidRPr="003D4E19">
        <w:rPr>
          <w:rFonts w:ascii="Arial" w:eastAsia="Arial" w:hAnsi="Arial" w:cs="Arial"/>
          <w:spacing w:val="-1"/>
        </w:rPr>
        <w:t>li</w:t>
      </w:r>
      <w:r w:rsidRPr="003D4E19">
        <w:rPr>
          <w:rFonts w:ascii="Arial" w:eastAsia="Arial" w:hAnsi="Arial" w:cs="Arial"/>
          <w:spacing w:val="1"/>
        </w:rPr>
        <w:t>e</w:t>
      </w:r>
      <w:r w:rsidRPr="003D4E19">
        <w:rPr>
          <w:rFonts w:ascii="Arial" w:eastAsia="Arial" w:hAnsi="Arial" w:cs="Arial"/>
        </w:rPr>
        <w:t>s,</w:t>
      </w:r>
      <w:r w:rsidRPr="003D4E19">
        <w:rPr>
          <w:rFonts w:ascii="Arial" w:eastAsia="Arial" w:hAnsi="Arial" w:cs="Arial"/>
          <w:spacing w:val="-1"/>
        </w:rPr>
        <w:t xml:space="preserve"> </w:t>
      </w:r>
      <w:r w:rsidRPr="003D4E19">
        <w:rPr>
          <w:rFonts w:ascii="Arial" w:eastAsia="Arial" w:hAnsi="Arial" w:cs="Arial"/>
        </w:rPr>
        <w:t>c</w:t>
      </w:r>
      <w:r w:rsidRPr="003D4E19">
        <w:rPr>
          <w:rFonts w:ascii="Arial" w:eastAsia="Arial" w:hAnsi="Arial" w:cs="Arial"/>
          <w:spacing w:val="-1"/>
        </w:rPr>
        <w:t>r</w:t>
      </w:r>
      <w:r w:rsidRPr="003D4E19">
        <w:rPr>
          <w:rFonts w:ascii="Arial" w:eastAsia="Arial" w:hAnsi="Arial" w:cs="Arial"/>
          <w:spacing w:val="1"/>
        </w:rPr>
        <w:t>ea</w:t>
      </w:r>
      <w:r w:rsidRPr="003D4E19">
        <w:rPr>
          <w:rFonts w:ascii="Arial" w:eastAsia="Arial" w:hAnsi="Arial" w:cs="Arial"/>
        </w:rPr>
        <w:t>t</w:t>
      </w:r>
      <w:r w:rsidRPr="003D4E19">
        <w:rPr>
          <w:rFonts w:ascii="Arial" w:eastAsia="Arial" w:hAnsi="Arial" w:cs="Arial"/>
          <w:spacing w:val="-1"/>
        </w:rPr>
        <w:t>i</w:t>
      </w:r>
      <w:r w:rsidRPr="003D4E19">
        <w:rPr>
          <w:rFonts w:ascii="Arial" w:eastAsia="Arial" w:hAnsi="Arial" w:cs="Arial"/>
          <w:spacing w:val="1"/>
        </w:rPr>
        <w:t>ng ope</w:t>
      </w:r>
      <w:r w:rsidRPr="003D4E19">
        <w:rPr>
          <w:rFonts w:ascii="Arial" w:eastAsia="Arial" w:hAnsi="Arial" w:cs="Arial"/>
          <w:spacing w:val="-1"/>
        </w:rPr>
        <w:t>r</w:t>
      </w:r>
      <w:r w:rsidRPr="003D4E19">
        <w:rPr>
          <w:rFonts w:ascii="Arial" w:eastAsia="Arial" w:hAnsi="Arial" w:cs="Arial"/>
          <w:spacing w:val="1"/>
        </w:rPr>
        <w:t>a</w:t>
      </w:r>
      <w:r w:rsidRPr="003D4E19">
        <w:rPr>
          <w:rFonts w:ascii="Arial" w:eastAsia="Arial" w:hAnsi="Arial" w:cs="Arial"/>
        </w:rPr>
        <w:t>t</w:t>
      </w:r>
      <w:r w:rsidRPr="003D4E19">
        <w:rPr>
          <w:rFonts w:ascii="Arial" w:eastAsia="Arial" w:hAnsi="Arial" w:cs="Arial"/>
          <w:spacing w:val="-3"/>
        </w:rPr>
        <w:t>i</w:t>
      </w:r>
      <w:r w:rsidRPr="003D4E19">
        <w:rPr>
          <w:rFonts w:ascii="Arial" w:eastAsia="Arial" w:hAnsi="Arial" w:cs="Arial"/>
          <w:spacing w:val="1"/>
        </w:rPr>
        <w:t>ona</w:t>
      </w:r>
      <w:r w:rsidRPr="003D4E19">
        <w:rPr>
          <w:rFonts w:ascii="Arial" w:eastAsia="Arial" w:hAnsi="Arial" w:cs="Arial"/>
        </w:rPr>
        <w:t>l</w:t>
      </w:r>
      <w:r w:rsidRPr="003D4E19">
        <w:rPr>
          <w:rFonts w:ascii="Arial" w:eastAsia="Arial" w:hAnsi="Arial" w:cs="Arial"/>
          <w:spacing w:val="-2"/>
        </w:rPr>
        <w:t xml:space="preserve"> </w:t>
      </w:r>
      <w:r w:rsidRPr="003D4E19">
        <w:rPr>
          <w:rFonts w:ascii="Arial" w:eastAsia="Arial" w:hAnsi="Arial" w:cs="Arial"/>
          <w:spacing w:val="1"/>
        </w:rPr>
        <w:t>d</w:t>
      </w:r>
      <w:r w:rsidRPr="003D4E19">
        <w:rPr>
          <w:rFonts w:ascii="Arial" w:eastAsia="Arial" w:hAnsi="Arial" w:cs="Arial"/>
          <w:spacing w:val="-1"/>
        </w:rPr>
        <w:t>i</w:t>
      </w:r>
      <w:r w:rsidRPr="003D4E19">
        <w:rPr>
          <w:rFonts w:ascii="Arial" w:eastAsia="Arial" w:hAnsi="Arial" w:cs="Arial"/>
          <w:spacing w:val="1"/>
        </w:rPr>
        <w:t>ff</w:t>
      </w:r>
      <w:r w:rsidRPr="003D4E19">
        <w:rPr>
          <w:rFonts w:ascii="Arial" w:eastAsia="Arial" w:hAnsi="Arial" w:cs="Arial"/>
          <w:spacing w:val="-1"/>
        </w:rPr>
        <w:t>i</w:t>
      </w:r>
      <w:r w:rsidRPr="003D4E19">
        <w:rPr>
          <w:rFonts w:ascii="Arial" w:eastAsia="Arial" w:hAnsi="Arial" w:cs="Arial"/>
        </w:rPr>
        <w:t>c</w:t>
      </w:r>
      <w:r w:rsidRPr="003D4E19">
        <w:rPr>
          <w:rFonts w:ascii="Arial" w:eastAsia="Arial" w:hAnsi="Arial" w:cs="Arial"/>
          <w:spacing w:val="1"/>
        </w:rPr>
        <w:t>u</w:t>
      </w:r>
      <w:r w:rsidRPr="003D4E19">
        <w:rPr>
          <w:rFonts w:ascii="Arial" w:eastAsia="Arial" w:hAnsi="Arial" w:cs="Arial"/>
          <w:spacing w:val="-1"/>
        </w:rPr>
        <w:t>l</w:t>
      </w:r>
      <w:r w:rsidRPr="003D4E19">
        <w:rPr>
          <w:rFonts w:ascii="Arial" w:eastAsia="Arial" w:hAnsi="Arial" w:cs="Arial"/>
          <w:spacing w:val="1"/>
        </w:rPr>
        <w:t>t</w:t>
      </w:r>
      <w:r w:rsidRPr="003D4E19">
        <w:rPr>
          <w:rFonts w:ascii="Arial" w:eastAsia="Arial" w:hAnsi="Arial" w:cs="Arial"/>
          <w:spacing w:val="-1"/>
        </w:rPr>
        <w:t>i</w:t>
      </w:r>
      <w:r w:rsidRPr="003D4E19">
        <w:rPr>
          <w:rFonts w:ascii="Arial" w:eastAsia="Arial" w:hAnsi="Arial" w:cs="Arial"/>
          <w:spacing w:val="1"/>
        </w:rPr>
        <w:t>e</w:t>
      </w:r>
      <w:r w:rsidRPr="003D4E19">
        <w:rPr>
          <w:rFonts w:ascii="Arial" w:eastAsia="Arial" w:hAnsi="Arial" w:cs="Arial"/>
        </w:rPr>
        <w:t>s</w:t>
      </w:r>
      <w:r w:rsidRPr="003D4E19">
        <w:rPr>
          <w:rFonts w:ascii="Arial" w:eastAsia="Arial" w:hAnsi="Arial" w:cs="Arial"/>
          <w:spacing w:val="-2"/>
        </w:rPr>
        <w:t xml:space="preserve"> f</w:t>
      </w:r>
      <w:r w:rsidRPr="003D4E19">
        <w:rPr>
          <w:rFonts w:ascii="Arial" w:eastAsia="Arial" w:hAnsi="Arial" w:cs="Arial"/>
          <w:spacing w:val="1"/>
        </w:rPr>
        <w:t>o</w:t>
      </w:r>
      <w:r w:rsidRPr="003D4E19">
        <w:rPr>
          <w:rFonts w:ascii="Arial" w:eastAsia="Arial" w:hAnsi="Arial" w:cs="Arial"/>
        </w:rPr>
        <w:t xml:space="preserve">r </w:t>
      </w:r>
      <w:r w:rsidRPr="003D4E19">
        <w:rPr>
          <w:rFonts w:ascii="Arial" w:eastAsia="Arial" w:hAnsi="Arial" w:cs="Arial"/>
          <w:spacing w:val="2"/>
        </w:rPr>
        <w:t>m</w:t>
      </w:r>
      <w:r w:rsidRPr="003D4E19">
        <w:rPr>
          <w:rFonts w:ascii="Arial" w:eastAsia="Arial" w:hAnsi="Arial" w:cs="Arial"/>
          <w:spacing w:val="-1"/>
        </w:rPr>
        <w:t>e</w:t>
      </w:r>
      <w:r w:rsidRPr="003D4E19">
        <w:rPr>
          <w:rFonts w:ascii="Arial" w:eastAsia="Arial" w:hAnsi="Arial" w:cs="Arial"/>
          <w:spacing w:val="1"/>
        </w:rPr>
        <w:t>d</w:t>
      </w:r>
      <w:r w:rsidRPr="003D4E19">
        <w:rPr>
          <w:rFonts w:ascii="Arial" w:eastAsia="Arial" w:hAnsi="Arial" w:cs="Arial"/>
          <w:spacing w:val="-1"/>
        </w:rPr>
        <w:t>i</w:t>
      </w:r>
      <w:r w:rsidRPr="003D4E19">
        <w:rPr>
          <w:rFonts w:ascii="Arial" w:eastAsia="Arial" w:hAnsi="Arial" w:cs="Arial"/>
        </w:rPr>
        <w:t>c</w:t>
      </w:r>
      <w:r w:rsidRPr="003D4E19">
        <w:rPr>
          <w:rFonts w:ascii="Arial" w:eastAsia="Arial" w:hAnsi="Arial" w:cs="Arial"/>
          <w:spacing w:val="1"/>
        </w:rPr>
        <w:t>a</w:t>
      </w:r>
      <w:r w:rsidRPr="003D4E19">
        <w:rPr>
          <w:rFonts w:ascii="Arial" w:eastAsia="Arial" w:hAnsi="Arial" w:cs="Arial"/>
        </w:rPr>
        <w:t xml:space="preserve">l </w:t>
      </w:r>
      <w:r w:rsidRPr="003D4E19">
        <w:rPr>
          <w:rFonts w:ascii="Arial" w:eastAsia="Arial" w:hAnsi="Arial" w:cs="Arial"/>
          <w:spacing w:val="1"/>
        </w:rPr>
        <w:t>p</w:t>
      </w:r>
      <w:r w:rsidRPr="003D4E19">
        <w:rPr>
          <w:rFonts w:ascii="Arial" w:eastAsia="Arial" w:hAnsi="Arial" w:cs="Arial"/>
          <w:spacing w:val="-1"/>
        </w:rPr>
        <w:t>r</w:t>
      </w:r>
      <w:r w:rsidRPr="003D4E19">
        <w:rPr>
          <w:rFonts w:ascii="Arial" w:eastAsia="Arial" w:hAnsi="Arial" w:cs="Arial"/>
          <w:spacing w:val="1"/>
        </w:rPr>
        <w:t>a</w:t>
      </w:r>
      <w:r w:rsidRPr="003D4E19">
        <w:rPr>
          <w:rFonts w:ascii="Arial" w:eastAsia="Arial" w:hAnsi="Arial" w:cs="Arial"/>
          <w:spacing w:val="-2"/>
        </w:rPr>
        <w:t>c</w:t>
      </w:r>
      <w:r w:rsidRPr="003D4E19">
        <w:rPr>
          <w:rFonts w:ascii="Arial" w:eastAsia="Arial" w:hAnsi="Arial" w:cs="Arial"/>
          <w:spacing w:val="1"/>
        </w:rPr>
        <w:t>t</w:t>
      </w:r>
      <w:r w:rsidRPr="003D4E19">
        <w:rPr>
          <w:rFonts w:ascii="Arial" w:eastAsia="Arial" w:hAnsi="Arial" w:cs="Arial"/>
          <w:spacing w:val="-1"/>
        </w:rPr>
        <w:t>i</w:t>
      </w:r>
      <w:r w:rsidRPr="003D4E19">
        <w:rPr>
          <w:rFonts w:ascii="Arial" w:eastAsia="Arial" w:hAnsi="Arial" w:cs="Arial"/>
          <w:spacing w:val="1"/>
        </w:rPr>
        <w:t>t</w:t>
      </w:r>
      <w:r w:rsidRPr="003D4E19">
        <w:rPr>
          <w:rFonts w:ascii="Arial" w:eastAsia="Arial" w:hAnsi="Arial" w:cs="Arial"/>
          <w:spacing w:val="-1"/>
        </w:rPr>
        <w:t>i</w:t>
      </w:r>
      <w:r w:rsidRPr="003D4E19">
        <w:rPr>
          <w:rFonts w:ascii="Arial" w:eastAsia="Arial" w:hAnsi="Arial" w:cs="Arial"/>
          <w:spacing w:val="1"/>
        </w:rPr>
        <w:t>one</w:t>
      </w:r>
      <w:r w:rsidRPr="003D4E19">
        <w:rPr>
          <w:rFonts w:ascii="Arial" w:eastAsia="Arial" w:hAnsi="Arial" w:cs="Arial"/>
          <w:spacing w:val="-3"/>
        </w:rPr>
        <w:t>r</w:t>
      </w:r>
      <w:r w:rsidRPr="003D4E19">
        <w:rPr>
          <w:rFonts w:ascii="Arial" w:eastAsia="Arial" w:hAnsi="Arial" w:cs="Arial"/>
        </w:rPr>
        <w:t>s</w:t>
      </w:r>
      <w:r w:rsidRPr="003D4E19">
        <w:rPr>
          <w:rFonts w:ascii="Arial" w:eastAsia="Arial" w:hAnsi="Arial" w:cs="Arial"/>
          <w:spacing w:val="1"/>
        </w:rPr>
        <w:t xml:space="preserve"> o</w:t>
      </w:r>
      <w:r w:rsidRPr="003D4E19">
        <w:rPr>
          <w:rFonts w:ascii="Arial" w:eastAsia="Arial" w:hAnsi="Arial" w:cs="Arial"/>
        </w:rPr>
        <w:t>n</w:t>
      </w:r>
      <w:r w:rsidRPr="003D4E19">
        <w:rPr>
          <w:rFonts w:ascii="Arial" w:eastAsia="Arial" w:hAnsi="Arial" w:cs="Arial"/>
          <w:spacing w:val="2"/>
        </w:rPr>
        <w:t xml:space="preserve"> </w:t>
      </w:r>
      <w:r w:rsidRPr="003D4E19">
        <w:rPr>
          <w:rFonts w:ascii="Arial" w:eastAsia="Arial" w:hAnsi="Arial" w:cs="Arial"/>
          <w:spacing w:val="-2"/>
        </w:rPr>
        <w:t>t</w:t>
      </w:r>
      <w:r w:rsidRPr="003D4E19">
        <w:rPr>
          <w:rFonts w:ascii="Arial" w:eastAsia="Arial" w:hAnsi="Arial" w:cs="Arial"/>
          <w:spacing w:val="1"/>
        </w:rPr>
        <w:t>h</w:t>
      </w:r>
      <w:r w:rsidRPr="003D4E19">
        <w:rPr>
          <w:rFonts w:ascii="Arial" w:eastAsia="Arial" w:hAnsi="Arial" w:cs="Arial"/>
        </w:rPr>
        <w:t>e</w:t>
      </w:r>
      <w:r w:rsidRPr="003D4E19">
        <w:rPr>
          <w:rFonts w:ascii="Arial" w:eastAsia="Arial" w:hAnsi="Arial" w:cs="Arial"/>
          <w:spacing w:val="-1"/>
        </w:rPr>
        <w:t xml:space="preserve"> </w:t>
      </w:r>
      <w:r w:rsidRPr="003D4E19">
        <w:rPr>
          <w:rFonts w:ascii="Arial" w:eastAsia="Arial" w:hAnsi="Arial" w:cs="Arial"/>
          <w:spacing w:val="1"/>
        </w:rPr>
        <w:t>f</w:t>
      </w:r>
      <w:r w:rsidRPr="003D4E19">
        <w:rPr>
          <w:rFonts w:ascii="Arial" w:eastAsia="Arial" w:hAnsi="Arial" w:cs="Arial"/>
          <w:spacing w:val="-1"/>
        </w:rPr>
        <w:t>r</w:t>
      </w:r>
      <w:r w:rsidRPr="003D4E19">
        <w:rPr>
          <w:rFonts w:ascii="Arial" w:eastAsia="Arial" w:hAnsi="Arial" w:cs="Arial"/>
          <w:spacing w:val="1"/>
        </w:rPr>
        <w:t>on</w:t>
      </w:r>
      <w:r w:rsidRPr="003D4E19">
        <w:rPr>
          <w:rFonts w:ascii="Arial" w:eastAsia="Arial" w:hAnsi="Arial" w:cs="Arial"/>
        </w:rPr>
        <w:t>t</w:t>
      </w:r>
      <w:r w:rsidRPr="003D4E19">
        <w:rPr>
          <w:rFonts w:ascii="Arial" w:eastAsia="Arial" w:hAnsi="Arial" w:cs="Arial"/>
          <w:spacing w:val="1"/>
        </w:rPr>
        <w:t xml:space="preserve"> </w:t>
      </w:r>
      <w:r w:rsidRPr="003D4E19">
        <w:rPr>
          <w:rFonts w:ascii="Arial" w:eastAsia="Arial" w:hAnsi="Arial" w:cs="Arial"/>
          <w:spacing w:val="-1"/>
        </w:rPr>
        <w:t>lin</w:t>
      </w:r>
      <w:r w:rsidRPr="003D4E19">
        <w:rPr>
          <w:rFonts w:ascii="Arial" w:eastAsia="Arial" w:hAnsi="Arial" w:cs="Arial"/>
          <w:spacing w:val="1"/>
        </w:rPr>
        <w:t>e</w:t>
      </w:r>
      <w:r w:rsidRPr="003D4E19">
        <w:rPr>
          <w:rFonts w:ascii="Arial" w:eastAsia="Arial" w:hAnsi="Arial" w:cs="Arial"/>
          <w:spacing w:val="8"/>
        </w:rPr>
        <w:t>.”</w:t>
      </w:r>
      <w:r w:rsidRPr="003D4E19">
        <w:rPr>
          <w:rFonts w:ascii="Arial" w:hAnsi="Arial" w:cs="Arial"/>
        </w:rPr>
        <w:t>. T</w:t>
      </w:r>
      <w:r w:rsidR="00EF2B55" w:rsidRPr="003D4E19">
        <w:rPr>
          <w:rFonts w:ascii="Arial" w:hAnsi="Arial" w:cs="Arial"/>
        </w:rPr>
        <w:t>he scope of Article 2 is not uncertain</w:t>
      </w:r>
      <w:r w:rsidR="0054014B" w:rsidRPr="003D4E19">
        <w:rPr>
          <w:rFonts w:ascii="Arial" w:hAnsi="Arial" w:cs="Arial"/>
        </w:rPr>
        <w:t xml:space="preserve">, and it does not create uncertainty for medical professionals operating on the </w:t>
      </w:r>
      <w:r w:rsidR="0054014B" w:rsidRPr="003D4E19">
        <w:rPr>
          <w:rFonts w:ascii="Arial" w:hAnsi="Arial" w:cs="Arial"/>
        </w:rPr>
        <w:lastRenderedPageBreak/>
        <w:t>front line</w:t>
      </w:r>
      <w:r w:rsidR="00EF2B55" w:rsidRPr="003D4E19">
        <w:rPr>
          <w:rFonts w:ascii="Arial" w:hAnsi="Arial" w:cs="Arial"/>
        </w:rPr>
        <w:t>. Th</w:t>
      </w:r>
      <w:r w:rsidRPr="003D4E19">
        <w:rPr>
          <w:rFonts w:ascii="Arial" w:hAnsi="Arial" w:cs="Arial"/>
        </w:rPr>
        <w:t>e wording here</w:t>
      </w:r>
      <w:r w:rsidR="00EF2B55" w:rsidRPr="003D4E19">
        <w:rPr>
          <w:rFonts w:ascii="Arial" w:hAnsi="Arial" w:cs="Arial"/>
        </w:rPr>
        <w:t xml:space="preserve"> gives the impression that claims for breaches of Article 2 can constantly be brought against those in a medical setting, and this is simply not the case. </w:t>
      </w:r>
      <w:r w:rsidR="0054014B" w:rsidRPr="003D4E19">
        <w:rPr>
          <w:rFonts w:ascii="Arial" w:hAnsi="Arial" w:cs="Arial"/>
        </w:rPr>
        <w:t>The reality is that breaches in a medical setting are very hard to prove</w:t>
      </w:r>
      <w:r w:rsidR="00095ACA">
        <w:rPr>
          <w:rFonts w:ascii="Arial" w:hAnsi="Arial" w:cs="Arial"/>
        </w:rPr>
        <w:t xml:space="preserve"> (see below</w:t>
      </w:r>
      <w:r w:rsidR="00A76773">
        <w:rPr>
          <w:rFonts w:ascii="Arial" w:hAnsi="Arial" w:cs="Arial"/>
        </w:rPr>
        <w:t xml:space="preserve"> references to cases of </w:t>
      </w:r>
      <w:r w:rsidR="00A76773">
        <w:rPr>
          <w:rFonts w:ascii="Arial" w:hAnsi="Arial" w:cs="Arial"/>
          <w:i/>
          <w:iCs/>
        </w:rPr>
        <w:t xml:space="preserve">Lopes </w:t>
      </w:r>
      <w:r w:rsidR="00A76773">
        <w:rPr>
          <w:rFonts w:ascii="Arial" w:hAnsi="Arial" w:cs="Arial"/>
        </w:rPr>
        <w:t xml:space="preserve">and </w:t>
      </w:r>
      <w:r w:rsidR="00A76773">
        <w:rPr>
          <w:rFonts w:ascii="Arial" w:hAnsi="Arial" w:cs="Arial"/>
          <w:i/>
          <w:iCs/>
        </w:rPr>
        <w:t>R(Parkinson)</w:t>
      </w:r>
      <w:r w:rsidR="00095ACA">
        <w:rPr>
          <w:rFonts w:ascii="Arial" w:hAnsi="Arial" w:cs="Arial"/>
        </w:rPr>
        <w:t>)</w:t>
      </w:r>
      <w:r w:rsidR="0054014B" w:rsidRPr="003D4E19">
        <w:rPr>
          <w:rFonts w:ascii="Arial" w:hAnsi="Arial" w:cs="Arial"/>
        </w:rPr>
        <w:t xml:space="preserve">, and where a claim is successful, this is because there has been a systemic or catastrophic failing which has created a risk to life. </w:t>
      </w:r>
      <w:r w:rsidR="00980D06" w:rsidRPr="003D4E19">
        <w:rPr>
          <w:rFonts w:ascii="Arial" w:hAnsi="Arial" w:cs="Arial"/>
        </w:rPr>
        <w:t xml:space="preserve"> </w:t>
      </w:r>
    </w:p>
    <w:p w14:paraId="6519557E" w14:textId="77777777" w:rsidR="0054014B" w:rsidRPr="003D4E19" w:rsidRDefault="00DF0F31" w:rsidP="003D4E19">
      <w:pPr>
        <w:tabs>
          <w:tab w:val="left" w:pos="660"/>
        </w:tabs>
        <w:spacing w:line="276" w:lineRule="auto"/>
        <w:ind w:right="339"/>
        <w:jc w:val="both"/>
        <w:rPr>
          <w:rFonts w:ascii="Arial" w:hAnsi="Arial" w:cs="Arial"/>
          <w:i/>
          <w:iCs/>
        </w:rPr>
      </w:pPr>
      <w:r w:rsidRPr="003D4E19">
        <w:rPr>
          <w:rFonts w:ascii="Arial" w:hAnsi="Arial" w:cs="Arial"/>
          <w:i/>
          <w:iCs/>
        </w:rPr>
        <w:t xml:space="preserve">Expanding the Territorial scope of rights </w:t>
      </w:r>
      <w:r w:rsidR="0054014B" w:rsidRPr="003D4E19">
        <w:rPr>
          <w:rFonts w:ascii="Arial" w:hAnsi="Arial" w:cs="Arial"/>
          <w:i/>
          <w:iCs/>
        </w:rPr>
        <w:t>– comments under paragraph 150 of the consultation</w:t>
      </w:r>
    </w:p>
    <w:p w14:paraId="17F1A1EF" w14:textId="7F0751F7" w:rsidR="00214B5D" w:rsidRPr="003D4E19" w:rsidRDefault="00DF0F31" w:rsidP="003D4E19">
      <w:pPr>
        <w:tabs>
          <w:tab w:val="left" w:pos="660"/>
        </w:tabs>
        <w:spacing w:line="276" w:lineRule="auto"/>
        <w:ind w:right="339"/>
        <w:jc w:val="both"/>
        <w:rPr>
          <w:rFonts w:ascii="Arial" w:hAnsi="Arial" w:cs="Arial"/>
          <w:color w:val="000000"/>
        </w:rPr>
      </w:pPr>
      <w:r w:rsidRPr="003D4E19">
        <w:rPr>
          <w:rFonts w:ascii="Arial" w:hAnsi="Arial" w:cs="Arial"/>
        </w:rPr>
        <w:t>Again,</w:t>
      </w:r>
      <w:r w:rsidR="0054014B" w:rsidRPr="003D4E19">
        <w:rPr>
          <w:rFonts w:ascii="Arial" w:hAnsi="Arial" w:cs="Arial"/>
        </w:rPr>
        <w:t xml:space="preserve"> after paragraph 150 of the consultation, there is a further assertion that the extension of human rights law to armed conflict has resulted in the actions of armed forces personnel being subject to increasing legal challenge, and that this has created operational uncertainties. The case of </w:t>
      </w:r>
      <w:r w:rsidR="0054014B" w:rsidRPr="003D4E19">
        <w:rPr>
          <w:rFonts w:ascii="Arial" w:hAnsi="Arial" w:cs="Arial"/>
          <w:i/>
          <w:iCs/>
        </w:rPr>
        <w:t>Smith v Ministry of Defence</w:t>
      </w:r>
      <w:r w:rsidR="00933917">
        <w:rPr>
          <w:rStyle w:val="FootnoteReference"/>
          <w:rFonts w:ascii="Arial" w:hAnsi="Arial" w:cs="Arial"/>
          <w:i/>
          <w:iCs/>
        </w:rPr>
        <w:footnoteReference w:id="3"/>
      </w:r>
      <w:r w:rsidR="0054014B" w:rsidRPr="003D4E19">
        <w:rPr>
          <w:rFonts w:ascii="Arial" w:hAnsi="Arial" w:cs="Arial"/>
          <w:i/>
          <w:iCs/>
        </w:rPr>
        <w:t xml:space="preserve"> </w:t>
      </w:r>
      <w:r w:rsidR="0054014B" w:rsidRPr="003D4E19">
        <w:rPr>
          <w:rFonts w:ascii="Arial" w:hAnsi="Arial" w:cs="Arial"/>
        </w:rPr>
        <w:t xml:space="preserve">is referenced as an example of how the actions of troops and military decision makers can now be subject to human rights challenges. </w:t>
      </w:r>
      <w:r w:rsidR="00160A0D" w:rsidRPr="003D4E19">
        <w:rPr>
          <w:rFonts w:ascii="Arial" w:hAnsi="Arial" w:cs="Arial"/>
        </w:rPr>
        <w:t>A</w:t>
      </w:r>
      <w:r w:rsidR="0054014B" w:rsidRPr="003D4E19">
        <w:rPr>
          <w:rFonts w:ascii="Arial" w:hAnsi="Arial" w:cs="Arial"/>
        </w:rPr>
        <w:t xml:space="preserve">s above, the principle of combat immunity protects the MoD against claims relating to decisions made in the heat of battle. When cases highlight issues with equipment or training, lessons can be learnt and changes implemented to ensure that more people are not harmed or killed by defective equipment or bad practices. In </w:t>
      </w:r>
      <w:r w:rsidR="0054014B" w:rsidRPr="003D4E19">
        <w:rPr>
          <w:rFonts w:ascii="Arial" w:hAnsi="Arial" w:cs="Arial"/>
          <w:i/>
          <w:iCs/>
        </w:rPr>
        <w:t>Smith,</w:t>
      </w:r>
      <w:r w:rsidR="00BA6099" w:rsidRPr="003D4E19">
        <w:rPr>
          <w:rFonts w:ascii="Arial" w:hAnsi="Arial" w:cs="Arial"/>
          <w:i/>
          <w:iCs/>
        </w:rPr>
        <w:t xml:space="preserve"> s</w:t>
      </w:r>
      <w:r w:rsidR="0054014B" w:rsidRPr="003D4E19">
        <w:rPr>
          <w:rFonts w:ascii="Arial" w:hAnsi="Arial" w:cs="Arial"/>
        </w:rPr>
        <w:t xml:space="preserve">everal cases were jointly heard. In the Challenger case, a Sergeant ordered a tank to fire on hot-spots, believing them to be personnel moving in and out of a bunker. In fact, the hot-spots were other British soldiers standing on a tank, and they were killed as a result of the blast. In the </w:t>
      </w:r>
      <w:r w:rsidR="00933917" w:rsidRPr="003D4E19">
        <w:rPr>
          <w:rFonts w:ascii="Arial" w:hAnsi="Arial" w:cs="Arial"/>
        </w:rPr>
        <w:t>Ellis claim</w:t>
      </w:r>
      <w:r w:rsidR="0054014B" w:rsidRPr="003D4E19">
        <w:rPr>
          <w:rFonts w:ascii="Arial" w:hAnsi="Arial" w:cs="Arial"/>
        </w:rPr>
        <w:t xml:space="preserve">, part of the “Snatch Land Rover” set of claims, a soldier was killed by an IED while travelling in a Snatch Land Rover, and it was alleged by the family of the deceased that there had been a failure to provide suitable armoured vehicles for patrolling. In both cases, the MoD sought to have the claims struck out because they fell under the principle of combat immunity. It was held that both claims could proceed to trial on the ground of falling outside the scope of combat immunity or on the ground that it would be fair, just and reasonable to extend the MoD’s duty of care to those cases. </w:t>
      </w:r>
      <w:r w:rsidR="00214B5D" w:rsidRPr="003D4E19">
        <w:rPr>
          <w:rFonts w:ascii="Arial" w:hAnsi="Arial" w:cs="Arial"/>
        </w:rPr>
        <w:t>There was an acknowledgement at paragraph 64 of the judgment that “t</w:t>
      </w:r>
      <w:r w:rsidR="00214B5D" w:rsidRPr="003D4E19">
        <w:rPr>
          <w:rFonts w:ascii="Arial" w:hAnsi="Arial" w:cs="Arial"/>
          <w:color w:val="000000"/>
        </w:rPr>
        <w:t xml:space="preserve">here is a fundamental difference between manoeuvres conducted under controlled conditions in the training area which can be accurately planned for, and what happens when troops are deployed on active service in situations over which they do not have complete control”, and that </w:t>
      </w:r>
      <w:proofErr w:type="gramStart"/>
      <w:r w:rsidR="00214B5D" w:rsidRPr="003D4E19">
        <w:rPr>
          <w:rFonts w:ascii="Arial" w:hAnsi="Arial" w:cs="Arial"/>
          <w:color w:val="000000"/>
        </w:rPr>
        <w:t>“ A</w:t>
      </w:r>
      <w:proofErr w:type="gramEnd"/>
      <w:r w:rsidR="00214B5D" w:rsidRPr="003D4E19">
        <w:rPr>
          <w:rFonts w:ascii="Arial" w:hAnsi="Arial" w:cs="Arial"/>
          <w:color w:val="000000"/>
        </w:rPr>
        <w:t xml:space="preserve"> court should </w:t>
      </w:r>
      <w:r w:rsidR="00095ACA">
        <w:rPr>
          <w:rFonts w:ascii="Arial" w:hAnsi="Arial" w:cs="Arial"/>
          <w:color w:val="000000"/>
        </w:rPr>
        <w:t xml:space="preserve">be very </w:t>
      </w:r>
      <w:r w:rsidR="00214B5D" w:rsidRPr="003D4E19">
        <w:rPr>
          <w:rFonts w:ascii="Arial" w:hAnsi="Arial" w:cs="Arial"/>
          <w:color w:val="000000"/>
        </w:rPr>
        <w:t>slow indeed to question operational decisions made on the ground by commanders, whatever their rank or level of seniority.”</w:t>
      </w:r>
    </w:p>
    <w:p w14:paraId="2BDE1B87" w14:textId="77777777" w:rsidR="00160A0D" w:rsidRPr="003D4E19" w:rsidRDefault="0054014B" w:rsidP="003D4E19">
      <w:pPr>
        <w:tabs>
          <w:tab w:val="left" w:pos="660"/>
        </w:tabs>
        <w:spacing w:line="276" w:lineRule="auto"/>
        <w:ind w:right="339"/>
        <w:jc w:val="both"/>
        <w:rPr>
          <w:rFonts w:ascii="Arial" w:hAnsi="Arial" w:cs="Arial"/>
          <w:i/>
          <w:iCs/>
        </w:rPr>
      </w:pPr>
      <w:r w:rsidRPr="003D4E19">
        <w:rPr>
          <w:rFonts w:ascii="Arial" w:hAnsi="Arial" w:cs="Arial"/>
        </w:rPr>
        <w:t>It was held, at paragraph 92 of the judgment, that combat immunity should be narrowly construed to apply only to actual or imminent armed conflict. The Challenger</w:t>
      </w:r>
      <w:r w:rsidR="00214B5D" w:rsidRPr="003D4E19">
        <w:rPr>
          <w:rFonts w:ascii="Arial" w:hAnsi="Arial" w:cs="Arial"/>
        </w:rPr>
        <w:t xml:space="preserve"> </w:t>
      </w:r>
      <w:r w:rsidRPr="003D4E19">
        <w:rPr>
          <w:rFonts w:ascii="Arial" w:hAnsi="Arial" w:cs="Arial"/>
        </w:rPr>
        <w:t xml:space="preserve">claims, for example, were upheld because they fell into the category of training and preparation, sufficiently far removed from the pressures and risks of active operations against the enemy. It was held that the Ellis claim was less obviously directed to things away from the theatre of battle, and that the issue should be open to further argument in the light of evidence. Because the principle of combat immunity can be open to interpretation, it should be decided on a </w:t>
      </w:r>
      <w:proofErr w:type="gramStart"/>
      <w:r w:rsidRPr="003D4E19">
        <w:rPr>
          <w:rFonts w:ascii="Arial" w:hAnsi="Arial" w:cs="Arial"/>
        </w:rPr>
        <w:t>case by case</w:t>
      </w:r>
      <w:proofErr w:type="gramEnd"/>
      <w:r w:rsidRPr="003D4E19">
        <w:rPr>
          <w:rFonts w:ascii="Arial" w:hAnsi="Arial" w:cs="Arial"/>
        </w:rPr>
        <w:t xml:space="preserve"> basis, examining the facts and hearing the arguments of both sides, with the well-equipped judiciary left to come to a decision based on their knowledge of the well-established body of case law in this area. If, as proposed</w:t>
      </w:r>
      <w:r w:rsidR="00214B5D" w:rsidRPr="003D4E19">
        <w:rPr>
          <w:rFonts w:ascii="Arial" w:hAnsi="Arial" w:cs="Arial"/>
        </w:rPr>
        <w:t xml:space="preserve"> </w:t>
      </w:r>
      <w:r w:rsidRPr="003D4E19">
        <w:rPr>
          <w:rFonts w:ascii="Arial" w:hAnsi="Arial" w:cs="Arial"/>
        </w:rPr>
        <w:t xml:space="preserve">by the MoD, the Snatch Land Rover claims had simply been barred from the courts because they fell within the scope of combat immunity, the issues arising from the case would have been </w:t>
      </w:r>
      <w:r w:rsidRPr="003D4E19">
        <w:rPr>
          <w:rFonts w:ascii="Arial" w:hAnsi="Arial" w:cs="Arial"/>
        </w:rPr>
        <w:lastRenderedPageBreak/>
        <w:t>swept under the carpet. Instead, as a result of the Snatch Land Rover claims, the ineffectiveness of the vehicles was brought into the public eye</w:t>
      </w:r>
      <w:r w:rsidR="00BA6533">
        <w:rPr>
          <w:rFonts w:ascii="Arial" w:hAnsi="Arial" w:cs="Arial"/>
        </w:rPr>
        <w:t xml:space="preserve"> via the Chilcot Inquiry</w:t>
      </w:r>
      <w:r w:rsidRPr="003D4E19">
        <w:rPr>
          <w:rFonts w:ascii="Arial" w:hAnsi="Arial" w:cs="Arial"/>
        </w:rPr>
        <w:t>, and the MoD was forced to acknowledge that there was an issu</w:t>
      </w:r>
      <w:r w:rsidRPr="00095ACA">
        <w:rPr>
          <w:rFonts w:ascii="Arial" w:hAnsi="Arial" w:cs="Arial"/>
        </w:rPr>
        <w:t>e</w:t>
      </w:r>
      <w:r w:rsidR="003D744E" w:rsidRPr="00095ACA">
        <w:rPr>
          <w:rFonts w:ascii="Arial" w:hAnsi="Arial" w:cs="Arial"/>
        </w:rPr>
        <w:t xml:space="preserve"> likely saving many more lives</w:t>
      </w:r>
      <w:r w:rsidRPr="00095ACA">
        <w:rPr>
          <w:rFonts w:ascii="Arial" w:hAnsi="Arial" w:cs="Arial"/>
        </w:rPr>
        <w:t xml:space="preserve">. </w:t>
      </w:r>
      <w:r w:rsidRPr="003D4E19">
        <w:rPr>
          <w:rFonts w:ascii="Arial" w:hAnsi="Arial" w:cs="Arial"/>
        </w:rPr>
        <w:t>Complaints to the MoD before the claims had gone ignored</w:t>
      </w:r>
      <w:r w:rsidR="00160A0D" w:rsidRPr="003D4E19">
        <w:rPr>
          <w:rFonts w:ascii="Arial" w:hAnsi="Arial" w:cs="Arial"/>
          <w:i/>
          <w:iCs/>
        </w:rPr>
        <w:t>.</w:t>
      </w:r>
    </w:p>
    <w:p w14:paraId="02D2CB62" w14:textId="36A7A283" w:rsidR="00DF0F31" w:rsidRDefault="00160A0D" w:rsidP="003D4E19">
      <w:pPr>
        <w:tabs>
          <w:tab w:val="left" w:pos="660"/>
        </w:tabs>
        <w:spacing w:line="276" w:lineRule="auto"/>
        <w:ind w:right="339"/>
        <w:jc w:val="both"/>
        <w:rPr>
          <w:rFonts w:ascii="Arial" w:hAnsi="Arial" w:cs="Arial"/>
        </w:rPr>
      </w:pPr>
      <w:r w:rsidRPr="00C071A3">
        <w:rPr>
          <w:rFonts w:ascii="Arial" w:hAnsi="Arial" w:cs="Arial"/>
          <w:iCs/>
        </w:rPr>
        <w:t>T</w:t>
      </w:r>
      <w:r w:rsidR="00DF0F31" w:rsidRPr="003D4E19">
        <w:rPr>
          <w:rFonts w:ascii="Arial" w:hAnsi="Arial" w:cs="Arial"/>
        </w:rPr>
        <w:t xml:space="preserve">here is no evidence that concerns over human rights claims are causing uncertainty in the area of armed conflict. </w:t>
      </w:r>
      <w:r w:rsidRPr="003D4E19">
        <w:rPr>
          <w:rFonts w:ascii="Arial" w:hAnsi="Arial" w:cs="Arial"/>
        </w:rPr>
        <w:t xml:space="preserve">Instead, there is a real risk that </w:t>
      </w:r>
      <w:r w:rsidR="00DF0F31" w:rsidRPr="003D4E19">
        <w:rPr>
          <w:rFonts w:ascii="Arial" w:hAnsi="Arial" w:cs="Arial"/>
        </w:rPr>
        <w:t xml:space="preserve">service personnel who are in training or receiving medical care in either the UK or abroad, will not have their human rights protected. </w:t>
      </w:r>
      <w:r w:rsidR="00214B5D" w:rsidRPr="003D4E19">
        <w:rPr>
          <w:rFonts w:ascii="Arial" w:hAnsi="Arial" w:cs="Arial"/>
        </w:rPr>
        <w:t xml:space="preserve">There </w:t>
      </w:r>
      <w:r w:rsidR="00DF0F31" w:rsidRPr="003D4E19">
        <w:rPr>
          <w:rFonts w:ascii="Arial" w:hAnsi="Arial" w:cs="Arial"/>
        </w:rPr>
        <w:t>must be checks and balances in place to protect personnel in these circumstances</w:t>
      </w:r>
      <w:r w:rsidR="003D4E19" w:rsidRPr="003D4E19">
        <w:rPr>
          <w:rFonts w:ascii="Arial" w:hAnsi="Arial" w:cs="Arial"/>
        </w:rPr>
        <w:t xml:space="preserve">. </w:t>
      </w:r>
      <w:r w:rsidR="00DF0F31" w:rsidRPr="003D4E19">
        <w:rPr>
          <w:rFonts w:ascii="Arial" w:hAnsi="Arial" w:cs="Arial"/>
        </w:rPr>
        <w:t xml:space="preserve"> </w:t>
      </w:r>
    </w:p>
    <w:p w14:paraId="6CF682E4" w14:textId="747D9A19" w:rsidR="006246F4" w:rsidRDefault="0027074F" w:rsidP="003D4E19">
      <w:pPr>
        <w:tabs>
          <w:tab w:val="left" w:pos="660"/>
        </w:tabs>
        <w:spacing w:line="276" w:lineRule="auto"/>
        <w:ind w:right="339"/>
        <w:jc w:val="both"/>
        <w:rPr>
          <w:rFonts w:ascii="Arial" w:hAnsi="Arial" w:cs="Arial"/>
          <w:b/>
          <w:bCs/>
        </w:rPr>
      </w:pPr>
      <w:r>
        <w:rPr>
          <w:rFonts w:ascii="Arial" w:hAnsi="Arial" w:cs="Arial"/>
          <w:b/>
          <w:bCs/>
        </w:rPr>
        <w:t>Abuse claims</w:t>
      </w:r>
    </w:p>
    <w:p w14:paraId="118DA9A5" w14:textId="2FB5B690" w:rsidR="00226BF4" w:rsidRPr="00C071A3" w:rsidRDefault="00226BF4" w:rsidP="003D4E19">
      <w:pPr>
        <w:tabs>
          <w:tab w:val="left" w:pos="660"/>
        </w:tabs>
        <w:spacing w:line="276" w:lineRule="auto"/>
        <w:ind w:right="339"/>
        <w:jc w:val="both"/>
        <w:rPr>
          <w:rFonts w:ascii="Arial" w:hAnsi="Arial" w:cs="Arial"/>
          <w:i/>
          <w:iCs/>
        </w:rPr>
      </w:pPr>
      <w:r w:rsidRPr="00095ACA">
        <w:rPr>
          <w:rFonts w:ascii="Arial" w:hAnsi="Arial" w:cs="Arial"/>
          <w:i/>
          <w:iCs/>
        </w:rPr>
        <w:t>An important route to redress</w:t>
      </w:r>
    </w:p>
    <w:p w14:paraId="49706C95" w14:textId="10021A5A" w:rsidR="007E43ED" w:rsidRPr="00C071A3" w:rsidRDefault="00A50430" w:rsidP="007E43ED">
      <w:pPr>
        <w:autoSpaceDE w:val="0"/>
        <w:autoSpaceDN w:val="0"/>
        <w:spacing w:after="0" w:line="240" w:lineRule="auto"/>
        <w:jc w:val="both"/>
        <w:rPr>
          <w:rFonts w:ascii="Arial" w:eastAsia="Times New Roman" w:hAnsi="Arial" w:cs="Arial"/>
        </w:rPr>
      </w:pPr>
      <w:r>
        <w:rPr>
          <w:rFonts w:ascii="Arial" w:hAnsi="Arial" w:cs="Arial"/>
        </w:rPr>
        <w:t>The</w:t>
      </w:r>
      <w:r w:rsidR="0027074F" w:rsidRPr="0015512A">
        <w:rPr>
          <w:rFonts w:ascii="Arial" w:hAnsi="Arial" w:cs="Arial"/>
        </w:rPr>
        <w:t xml:space="preserve"> </w:t>
      </w:r>
      <w:r>
        <w:rPr>
          <w:rFonts w:ascii="Arial" w:hAnsi="Arial" w:cs="Arial"/>
        </w:rPr>
        <w:t>H</w:t>
      </w:r>
      <w:r w:rsidR="0027074F" w:rsidRPr="0015512A">
        <w:rPr>
          <w:rFonts w:ascii="Arial" w:hAnsi="Arial" w:cs="Arial"/>
        </w:rPr>
        <w:t xml:space="preserve">uman </w:t>
      </w:r>
      <w:r>
        <w:rPr>
          <w:rFonts w:ascii="Arial" w:hAnsi="Arial" w:cs="Arial"/>
        </w:rPr>
        <w:t>R</w:t>
      </w:r>
      <w:r w:rsidR="0027074F" w:rsidRPr="0015512A">
        <w:rPr>
          <w:rFonts w:ascii="Arial" w:hAnsi="Arial" w:cs="Arial"/>
        </w:rPr>
        <w:t xml:space="preserve">ights </w:t>
      </w:r>
      <w:r>
        <w:rPr>
          <w:rFonts w:ascii="Arial" w:hAnsi="Arial" w:cs="Arial"/>
        </w:rPr>
        <w:t>A</w:t>
      </w:r>
      <w:r w:rsidR="0027074F" w:rsidRPr="0015512A">
        <w:rPr>
          <w:rFonts w:ascii="Arial" w:hAnsi="Arial" w:cs="Arial"/>
        </w:rPr>
        <w:t>ct</w:t>
      </w:r>
      <w:r>
        <w:rPr>
          <w:rFonts w:ascii="Arial" w:hAnsi="Arial" w:cs="Arial"/>
        </w:rPr>
        <w:t xml:space="preserve"> is an important alternative route to</w:t>
      </w:r>
      <w:r w:rsidR="0027074F" w:rsidRPr="0015512A">
        <w:rPr>
          <w:rFonts w:ascii="Arial" w:hAnsi="Arial" w:cs="Arial"/>
        </w:rPr>
        <w:t xml:space="preserve"> redress for</w:t>
      </w:r>
      <w:r>
        <w:rPr>
          <w:rFonts w:ascii="Arial" w:hAnsi="Arial" w:cs="Arial"/>
        </w:rPr>
        <w:t xml:space="preserve"> some</w:t>
      </w:r>
      <w:r w:rsidR="0027074F" w:rsidRPr="0015512A">
        <w:rPr>
          <w:rFonts w:ascii="Arial" w:hAnsi="Arial" w:cs="Arial"/>
        </w:rPr>
        <w:t xml:space="preserve"> abuse claimants, helping to bring</w:t>
      </w:r>
      <w:r w:rsidR="00D00C0C">
        <w:rPr>
          <w:rFonts w:ascii="Arial" w:hAnsi="Arial" w:cs="Arial"/>
        </w:rPr>
        <w:t xml:space="preserve"> </w:t>
      </w:r>
      <w:r w:rsidR="0027074F" w:rsidRPr="0015512A">
        <w:rPr>
          <w:rFonts w:ascii="Arial" w:hAnsi="Arial" w:cs="Arial"/>
        </w:rPr>
        <w:t xml:space="preserve">closure to survivors, and recognition of wrongdoing </w:t>
      </w:r>
      <w:r>
        <w:rPr>
          <w:rFonts w:ascii="Arial" w:hAnsi="Arial" w:cs="Arial"/>
        </w:rPr>
        <w:t xml:space="preserve">in circumstances where a negligence claim would not be possible. </w:t>
      </w:r>
    </w:p>
    <w:p w14:paraId="6E9F7018" w14:textId="77777777" w:rsidR="00095ACA" w:rsidRDefault="00095ACA" w:rsidP="003D4E19">
      <w:pPr>
        <w:tabs>
          <w:tab w:val="left" w:pos="660"/>
        </w:tabs>
        <w:spacing w:line="276" w:lineRule="auto"/>
        <w:ind w:right="339"/>
        <w:jc w:val="both"/>
        <w:rPr>
          <w:rFonts w:ascii="Arial" w:hAnsi="Arial" w:cs="Arial"/>
        </w:rPr>
      </w:pPr>
    </w:p>
    <w:p w14:paraId="5E6AB5C0" w14:textId="441DDA59" w:rsidR="007E43ED" w:rsidRPr="0015512A" w:rsidRDefault="003B2BFE" w:rsidP="003D4E19">
      <w:pPr>
        <w:tabs>
          <w:tab w:val="left" w:pos="660"/>
        </w:tabs>
        <w:spacing w:line="276" w:lineRule="auto"/>
        <w:ind w:right="339"/>
        <w:jc w:val="both"/>
        <w:rPr>
          <w:rFonts w:ascii="Arial" w:hAnsi="Arial" w:cs="Arial"/>
        </w:rPr>
      </w:pPr>
      <w:r w:rsidRPr="0015512A">
        <w:rPr>
          <w:rFonts w:ascii="Arial" w:hAnsi="Arial" w:cs="Arial"/>
        </w:rPr>
        <w:t>Following</w:t>
      </w:r>
      <w:r w:rsidR="00D00C0C">
        <w:rPr>
          <w:rFonts w:ascii="Arial" w:hAnsi="Arial" w:cs="Arial"/>
        </w:rPr>
        <w:t xml:space="preserve"> the case of</w:t>
      </w:r>
      <w:r w:rsidR="00FF2C1E">
        <w:rPr>
          <w:rFonts w:ascii="Arial" w:hAnsi="Arial" w:cs="Arial"/>
        </w:rPr>
        <w:t xml:space="preserve"> </w:t>
      </w:r>
      <w:r w:rsidR="00FF2C1E">
        <w:rPr>
          <w:rFonts w:ascii="Arial" w:hAnsi="Arial" w:cs="Arial"/>
          <w:i/>
          <w:iCs/>
        </w:rPr>
        <w:t>Poole Borough Council v GN and Another</w:t>
      </w:r>
      <w:r w:rsidR="00933917">
        <w:rPr>
          <w:rStyle w:val="FootnoteReference"/>
          <w:rFonts w:ascii="Arial" w:hAnsi="Arial" w:cs="Arial"/>
          <w:i/>
          <w:iCs/>
        </w:rPr>
        <w:footnoteReference w:id="4"/>
      </w:r>
      <w:r w:rsidR="00D00C0C">
        <w:rPr>
          <w:rStyle w:val="FootnoteReference"/>
          <w:rFonts w:ascii="Arial" w:hAnsi="Arial" w:cs="Arial"/>
          <w:i/>
          <w:iCs/>
        </w:rPr>
        <w:footnoteReference w:id="5"/>
      </w:r>
      <w:r w:rsidRPr="0015512A">
        <w:rPr>
          <w:rFonts w:ascii="Arial" w:hAnsi="Arial" w:cs="Arial"/>
          <w:i/>
          <w:iCs/>
        </w:rPr>
        <w:t xml:space="preserve">, </w:t>
      </w:r>
      <w:r w:rsidRPr="0015512A">
        <w:rPr>
          <w:rFonts w:ascii="Arial" w:hAnsi="Arial" w:cs="Arial"/>
        </w:rPr>
        <w:t xml:space="preserve">it has become much more difficult to hold local authorities to account </w:t>
      </w:r>
      <w:r w:rsidR="00B54251" w:rsidRPr="0015512A">
        <w:rPr>
          <w:rFonts w:ascii="Arial" w:hAnsi="Arial" w:cs="Arial"/>
        </w:rPr>
        <w:t xml:space="preserve">in common law </w:t>
      </w:r>
      <w:r w:rsidR="00226BF4">
        <w:rPr>
          <w:rFonts w:ascii="Arial" w:hAnsi="Arial" w:cs="Arial"/>
        </w:rPr>
        <w:t>for a</w:t>
      </w:r>
      <w:r w:rsidRPr="0015512A">
        <w:rPr>
          <w:rFonts w:ascii="Arial" w:hAnsi="Arial" w:cs="Arial"/>
        </w:rPr>
        <w:t xml:space="preserve"> fail</w:t>
      </w:r>
      <w:r w:rsidR="00226BF4">
        <w:rPr>
          <w:rFonts w:ascii="Arial" w:hAnsi="Arial" w:cs="Arial"/>
        </w:rPr>
        <w:t>ure</w:t>
      </w:r>
      <w:r w:rsidRPr="0015512A">
        <w:rPr>
          <w:rFonts w:ascii="Arial" w:hAnsi="Arial" w:cs="Arial"/>
        </w:rPr>
        <w:t xml:space="preserve"> to remove children</w:t>
      </w:r>
      <w:r w:rsidR="00B54251" w:rsidRPr="0015512A">
        <w:rPr>
          <w:rFonts w:ascii="Arial" w:hAnsi="Arial" w:cs="Arial"/>
        </w:rPr>
        <w:t xml:space="preserve"> </w:t>
      </w:r>
      <w:r w:rsidR="007E43ED" w:rsidRPr="0015512A">
        <w:rPr>
          <w:rFonts w:ascii="Arial" w:hAnsi="Arial" w:cs="Arial"/>
        </w:rPr>
        <w:t>from a harmful environment</w:t>
      </w:r>
      <w:r w:rsidRPr="0015512A">
        <w:rPr>
          <w:rFonts w:ascii="Arial" w:hAnsi="Arial" w:cs="Arial"/>
        </w:rPr>
        <w:t>.</w:t>
      </w:r>
      <w:r w:rsidRPr="0015512A">
        <w:rPr>
          <w:rFonts w:ascii="Arial" w:hAnsi="Arial" w:cs="Arial"/>
          <w:i/>
          <w:iCs/>
        </w:rPr>
        <w:t xml:space="preserve"> </w:t>
      </w:r>
      <w:r w:rsidRPr="0015512A">
        <w:rPr>
          <w:rFonts w:ascii="Arial" w:hAnsi="Arial" w:cs="Arial"/>
        </w:rPr>
        <w:t xml:space="preserve">In </w:t>
      </w:r>
      <w:r w:rsidR="00FF2C1E">
        <w:rPr>
          <w:rFonts w:ascii="Arial" w:hAnsi="Arial" w:cs="Arial"/>
          <w:i/>
          <w:iCs/>
        </w:rPr>
        <w:t>Poole</w:t>
      </w:r>
      <w:r w:rsidRPr="0015512A">
        <w:rPr>
          <w:rFonts w:ascii="Arial" w:hAnsi="Arial" w:cs="Arial"/>
          <w:i/>
          <w:iCs/>
        </w:rPr>
        <w:t>,</w:t>
      </w:r>
      <w:r w:rsidRPr="0015512A">
        <w:rPr>
          <w:rFonts w:ascii="Arial" w:hAnsi="Arial" w:cs="Arial"/>
        </w:rPr>
        <w:t xml:space="preserve"> the Supreme Court</w:t>
      </w:r>
      <w:r w:rsidR="0022116B">
        <w:rPr>
          <w:rFonts w:ascii="Arial" w:hAnsi="Arial" w:cs="Arial"/>
        </w:rPr>
        <w:t xml:space="preserve"> held </w:t>
      </w:r>
      <w:r w:rsidRPr="0015512A">
        <w:rPr>
          <w:rFonts w:ascii="Arial" w:hAnsi="Arial" w:cs="Arial"/>
        </w:rPr>
        <w:t>that the local authority did not owe a duty of care to claimants who, along with their mother, were harassed by their neighbours in social housing</w:t>
      </w:r>
      <w:r w:rsidR="00D00C0C">
        <w:rPr>
          <w:rFonts w:ascii="Arial" w:hAnsi="Arial" w:cs="Arial"/>
        </w:rPr>
        <w:t xml:space="preserve"> that they had been placed in by the local authority</w:t>
      </w:r>
      <w:r w:rsidR="0022116B">
        <w:rPr>
          <w:rFonts w:ascii="Arial" w:hAnsi="Arial" w:cs="Arial"/>
        </w:rPr>
        <w:t>, although the Supreme Court were clear that there were some limited circumstances in which public authorities could owe a duty of care to Claimants for the negligent or wrongful actions of thir</w:t>
      </w:r>
      <w:r w:rsidR="00A33AB0">
        <w:rPr>
          <w:rFonts w:ascii="Arial" w:hAnsi="Arial" w:cs="Arial"/>
        </w:rPr>
        <w:t>d</w:t>
      </w:r>
      <w:r w:rsidR="0022116B">
        <w:rPr>
          <w:rFonts w:ascii="Arial" w:hAnsi="Arial" w:cs="Arial"/>
        </w:rPr>
        <w:t xml:space="preserve"> parties</w:t>
      </w:r>
      <w:r w:rsidRPr="0015512A">
        <w:rPr>
          <w:rFonts w:ascii="Arial" w:hAnsi="Arial" w:cs="Arial"/>
        </w:rPr>
        <w:t>.</w:t>
      </w:r>
      <w:r w:rsidR="0022116B">
        <w:rPr>
          <w:rFonts w:ascii="Arial" w:hAnsi="Arial" w:cs="Arial"/>
        </w:rPr>
        <w:t xml:space="preserve"> The Supreme Court re-iterated that</w:t>
      </w:r>
      <w:r w:rsidR="00D00C0C">
        <w:rPr>
          <w:rFonts w:ascii="Arial" w:hAnsi="Arial" w:cs="Arial"/>
        </w:rPr>
        <w:t xml:space="preserve"> there is </w:t>
      </w:r>
      <w:r w:rsidR="00A33AB0">
        <w:rPr>
          <w:rFonts w:ascii="Arial" w:hAnsi="Arial" w:cs="Arial"/>
        </w:rPr>
        <w:t xml:space="preserve">ordinarily </w:t>
      </w:r>
      <w:r w:rsidR="00D00C0C">
        <w:rPr>
          <w:rFonts w:ascii="Arial" w:hAnsi="Arial" w:cs="Arial"/>
        </w:rPr>
        <w:t>no duty on public authorities (just as there is no duty on private individuals) to fail to confer a benefit on an individual (i.e. protecting them from harm by a third party)</w:t>
      </w:r>
      <w:r w:rsidRPr="0015512A">
        <w:rPr>
          <w:rFonts w:ascii="Arial" w:hAnsi="Arial" w:cs="Arial"/>
        </w:rPr>
        <w:t>.</w:t>
      </w:r>
      <w:r w:rsidR="00FF2C1E">
        <w:rPr>
          <w:rFonts w:ascii="Arial" w:hAnsi="Arial" w:cs="Arial"/>
        </w:rPr>
        <w:t xml:space="preserve"> Since </w:t>
      </w:r>
      <w:r w:rsidR="00FF2C1E">
        <w:rPr>
          <w:rFonts w:ascii="Arial" w:hAnsi="Arial" w:cs="Arial"/>
          <w:i/>
          <w:iCs/>
        </w:rPr>
        <w:t xml:space="preserve">Poole, </w:t>
      </w:r>
      <w:r w:rsidR="00FF2C1E">
        <w:rPr>
          <w:rFonts w:ascii="Arial" w:hAnsi="Arial" w:cs="Arial"/>
        </w:rPr>
        <w:t xml:space="preserve">local authorities generally do </w:t>
      </w:r>
      <w:r w:rsidR="00FF2C1E" w:rsidRPr="007F5A04">
        <w:rPr>
          <w:rFonts w:ascii="Arial" w:hAnsi="Arial" w:cs="Arial"/>
        </w:rPr>
        <w:t>not owe a duty of care to children in their area to protect them from harm from a third party, except in very limited circumstances. These limited circumstances are still being litigated through the courts, such as in the r</w:t>
      </w:r>
      <w:r w:rsidR="007E43ED" w:rsidRPr="007F5A04">
        <w:rPr>
          <w:rFonts w:ascii="Arial" w:hAnsi="Arial" w:cs="Arial"/>
        </w:rPr>
        <w:t xml:space="preserve">ecent appeal decisions in </w:t>
      </w:r>
      <w:r w:rsidR="007E43ED" w:rsidRPr="007F5A04">
        <w:rPr>
          <w:rStyle w:val="Emphasis"/>
          <w:rFonts w:ascii="Arial" w:hAnsi="Arial" w:cs="Arial"/>
          <w:shd w:val="clear" w:color="auto" w:fill="FFFFFF"/>
        </w:rPr>
        <w:t>HXA v Surrey County Council</w:t>
      </w:r>
      <w:r w:rsidR="007E43ED" w:rsidRPr="007F5A04">
        <w:rPr>
          <w:rFonts w:ascii="Arial" w:hAnsi="Arial" w:cs="Arial"/>
          <w:shd w:val="clear" w:color="auto" w:fill="FFFFFF"/>
        </w:rPr>
        <w:t> and </w:t>
      </w:r>
      <w:r w:rsidR="007E43ED" w:rsidRPr="007F5A04">
        <w:rPr>
          <w:rStyle w:val="Emphasis"/>
          <w:rFonts w:ascii="Arial" w:hAnsi="Arial" w:cs="Arial"/>
          <w:shd w:val="clear" w:color="auto" w:fill="FFFFFF"/>
        </w:rPr>
        <w:t>YXA v Wolverhampton City</w:t>
      </w:r>
      <w:r w:rsidR="007E43ED" w:rsidRPr="007F5A04">
        <w:rPr>
          <w:rFonts w:ascii="Arial" w:hAnsi="Arial" w:cs="Arial"/>
          <w:shd w:val="clear" w:color="auto" w:fill="FFFFFF"/>
        </w:rPr>
        <w:t> </w:t>
      </w:r>
      <w:r w:rsidR="008D37BD" w:rsidRPr="007F5A04">
        <w:rPr>
          <w:rStyle w:val="Emphasis"/>
          <w:rFonts w:ascii="Arial" w:hAnsi="Arial" w:cs="Arial"/>
          <w:shd w:val="clear" w:color="auto" w:fill="FFFFFF"/>
        </w:rPr>
        <w:t>Council</w:t>
      </w:r>
      <w:r w:rsidR="00454259" w:rsidRPr="007F5A04">
        <w:rPr>
          <w:rStyle w:val="FootnoteReference"/>
          <w:rFonts w:ascii="Arial" w:hAnsi="Arial" w:cs="Arial"/>
          <w:i/>
          <w:iCs/>
          <w:shd w:val="clear" w:color="auto" w:fill="FFFFFF"/>
        </w:rPr>
        <w:footnoteReference w:id="6"/>
      </w:r>
      <w:proofErr w:type="gramStart"/>
      <w:r w:rsidR="007E43ED" w:rsidRPr="007F5A04">
        <w:rPr>
          <w:rStyle w:val="Emphasis"/>
          <w:rFonts w:ascii="Arial" w:hAnsi="Arial" w:cs="Arial"/>
          <w:shd w:val="clear" w:color="auto" w:fill="FFFFFF"/>
        </w:rPr>
        <w:t>l</w:t>
      </w:r>
      <w:r w:rsidR="007E43ED" w:rsidRPr="007F5A04">
        <w:rPr>
          <w:rFonts w:ascii="Arial" w:hAnsi="Arial" w:cs="Arial" w:hint="eastAsia"/>
          <w:shd w:val="clear" w:color="auto" w:fill="FFFFFF"/>
        </w:rPr>
        <w:t> </w:t>
      </w:r>
      <w:r w:rsidR="00FF2C1E" w:rsidRPr="007F5A04">
        <w:rPr>
          <w:rFonts w:ascii="Arial" w:hAnsi="Arial" w:cs="Arial"/>
          <w:shd w:val="clear" w:color="auto" w:fill="FFFFFF"/>
        </w:rPr>
        <w:t>.</w:t>
      </w:r>
      <w:proofErr w:type="gramEnd"/>
      <w:r w:rsidR="00FF2C1E" w:rsidRPr="007F5A04">
        <w:rPr>
          <w:rFonts w:ascii="Arial" w:hAnsi="Arial" w:cs="Arial"/>
          <w:shd w:val="clear" w:color="auto" w:fill="FFFFFF"/>
        </w:rPr>
        <w:t xml:space="preserve"> </w:t>
      </w:r>
      <w:r w:rsidR="00FF2C1E" w:rsidRPr="007F5A04">
        <w:rPr>
          <w:rFonts w:ascii="Arial" w:hAnsi="Arial" w:cs="Arial"/>
          <w:i/>
          <w:iCs/>
          <w:shd w:val="clear" w:color="auto" w:fill="FFFFFF"/>
        </w:rPr>
        <w:t xml:space="preserve">HXA </w:t>
      </w:r>
      <w:r w:rsidR="00FF2C1E" w:rsidRPr="007F5A04">
        <w:rPr>
          <w:rFonts w:ascii="Arial" w:hAnsi="Arial" w:cs="Arial"/>
          <w:shd w:val="clear" w:color="auto" w:fill="FFFFFF"/>
        </w:rPr>
        <w:t xml:space="preserve">and </w:t>
      </w:r>
      <w:r w:rsidR="00FF2C1E" w:rsidRPr="007F5A04">
        <w:rPr>
          <w:rFonts w:ascii="Arial" w:hAnsi="Arial" w:cs="Arial"/>
          <w:i/>
          <w:iCs/>
          <w:shd w:val="clear" w:color="auto" w:fill="FFFFFF"/>
        </w:rPr>
        <w:t>YXA</w:t>
      </w:r>
      <w:r w:rsidR="007E43ED" w:rsidRPr="007F5A04">
        <w:rPr>
          <w:rFonts w:ascii="Arial" w:hAnsi="Arial" w:cs="Arial"/>
          <w:shd w:val="clear" w:color="auto" w:fill="FFFFFF"/>
        </w:rPr>
        <w:t xml:space="preserve"> confirm</w:t>
      </w:r>
      <w:r w:rsidR="00850D65" w:rsidRPr="007F5A04">
        <w:rPr>
          <w:rFonts w:ascii="Arial" w:hAnsi="Arial" w:cs="Arial"/>
          <w:shd w:val="clear" w:color="auto" w:fill="FFFFFF"/>
        </w:rPr>
        <w:t>ed</w:t>
      </w:r>
      <w:r w:rsidR="007E43ED" w:rsidRPr="007F5A04">
        <w:rPr>
          <w:rFonts w:ascii="Arial" w:hAnsi="Arial" w:cs="Arial"/>
          <w:shd w:val="clear" w:color="auto" w:fill="FFFFFF"/>
        </w:rPr>
        <w:t xml:space="preserve"> that Social Services professionals will </w:t>
      </w:r>
      <w:r w:rsidR="008D37BD" w:rsidRPr="007F5A04">
        <w:rPr>
          <w:rFonts w:ascii="Arial" w:hAnsi="Arial" w:cs="Arial"/>
          <w:shd w:val="clear" w:color="auto" w:fill="FFFFFF"/>
        </w:rPr>
        <w:t xml:space="preserve">rarely </w:t>
      </w:r>
      <w:r w:rsidR="007E43ED" w:rsidRPr="007F5A04">
        <w:rPr>
          <w:rFonts w:ascii="Arial" w:hAnsi="Arial" w:cs="Arial"/>
          <w:shd w:val="clear" w:color="auto" w:fill="FFFFFF"/>
        </w:rPr>
        <w:t>be liable for a claim for compensation</w:t>
      </w:r>
      <w:r w:rsidR="00226BF4" w:rsidRPr="007F5A04">
        <w:rPr>
          <w:rFonts w:ascii="Arial" w:hAnsi="Arial" w:cs="Arial"/>
          <w:shd w:val="clear" w:color="auto" w:fill="FFFFFF"/>
        </w:rPr>
        <w:t xml:space="preserve"> at common law</w:t>
      </w:r>
      <w:r w:rsidR="007E43ED" w:rsidRPr="007F5A04">
        <w:rPr>
          <w:rFonts w:ascii="Arial" w:hAnsi="Arial" w:cs="Arial"/>
          <w:shd w:val="clear" w:color="auto" w:fill="FFFFFF"/>
        </w:rPr>
        <w:t xml:space="preserve"> </w:t>
      </w:r>
      <w:r w:rsidR="008D37BD" w:rsidRPr="007F5A04">
        <w:rPr>
          <w:rFonts w:ascii="Arial" w:hAnsi="Arial" w:cs="Arial"/>
          <w:shd w:val="clear" w:color="auto" w:fill="FFFFFF"/>
        </w:rPr>
        <w:t>unless the alleged negligent failures occurred whilst a child was already in the care of the Local Authority and/or where social services have</w:t>
      </w:r>
      <w:r w:rsidR="0022116B" w:rsidRPr="007F5A04">
        <w:rPr>
          <w:rFonts w:ascii="Arial" w:hAnsi="Arial" w:cs="Arial"/>
          <w:shd w:val="clear" w:color="auto" w:fill="FFFFFF"/>
        </w:rPr>
        <w:t xml:space="preserve"> </w:t>
      </w:r>
      <w:r w:rsidR="007E43ED" w:rsidRPr="007F5A04">
        <w:rPr>
          <w:rFonts w:ascii="Arial" w:hAnsi="Arial" w:cs="Arial"/>
          <w:shd w:val="clear" w:color="auto" w:fill="FFFFFF"/>
        </w:rPr>
        <w:t xml:space="preserve">actively </w:t>
      </w:r>
      <w:proofErr w:type="gramStart"/>
      <w:r w:rsidR="007E43ED" w:rsidRPr="007F5A04">
        <w:rPr>
          <w:rFonts w:ascii="Arial" w:hAnsi="Arial" w:cs="Arial"/>
          <w:shd w:val="clear" w:color="auto" w:fill="FFFFFF"/>
        </w:rPr>
        <w:t>make</w:t>
      </w:r>
      <w:proofErr w:type="gramEnd"/>
      <w:r w:rsidR="007E43ED" w:rsidRPr="007F5A04">
        <w:rPr>
          <w:rFonts w:ascii="Arial" w:hAnsi="Arial" w:cs="Arial"/>
          <w:shd w:val="clear" w:color="auto" w:fill="FFFFFF"/>
        </w:rPr>
        <w:t xml:space="preserve"> the situation worse for the child </w:t>
      </w:r>
      <w:r w:rsidR="008D37BD" w:rsidRPr="007F5A04">
        <w:rPr>
          <w:rFonts w:ascii="Arial" w:hAnsi="Arial" w:cs="Arial"/>
          <w:shd w:val="clear" w:color="auto" w:fill="FFFFFF"/>
        </w:rPr>
        <w:t>(</w:t>
      </w:r>
      <w:r w:rsidR="0022116B" w:rsidRPr="007F5A04">
        <w:rPr>
          <w:rFonts w:ascii="Arial" w:hAnsi="Arial" w:cs="Arial"/>
          <w:shd w:val="clear" w:color="auto" w:fill="FFFFFF"/>
        </w:rPr>
        <w:t>rather than simply fail</w:t>
      </w:r>
      <w:r w:rsidR="008D37BD" w:rsidRPr="007F5A04">
        <w:rPr>
          <w:rFonts w:ascii="Arial" w:hAnsi="Arial" w:cs="Arial"/>
          <w:shd w:val="clear" w:color="auto" w:fill="FFFFFF"/>
        </w:rPr>
        <w:t>ing</w:t>
      </w:r>
      <w:r w:rsidR="0022116B" w:rsidRPr="007F5A04">
        <w:rPr>
          <w:rFonts w:ascii="Arial" w:hAnsi="Arial" w:cs="Arial"/>
          <w:shd w:val="clear" w:color="auto" w:fill="FFFFFF"/>
        </w:rPr>
        <w:t xml:space="preserve"> to confer a benefit onto that child</w:t>
      </w:r>
      <w:r w:rsidR="008D37BD" w:rsidRPr="007F5A04">
        <w:rPr>
          <w:rFonts w:ascii="Arial" w:hAnsi="Arial" w:cs="Arial"/>
          <w:shd w:val="clear" w:color="auto" w:fill="FFFFFF"/>
        </w:rPr>
        <w:t>, e.g. by not removing a child into care earlier in circumstances where they are being abused at home)</w:t>
      </w:r>
      <w:r w:rsidR="007E43ED" w:rsidRPr="007F5A04">
        <w:rPr>
          <w:rFonts w:ascii="Arial" w:hAnsi="Arial" w:cs="Arial"/>
          <w:shd w:val="clear" w:color="auto" w:fill="FFFFFF"/>
        </w:rPr>
        <w:t>.</w:t>
      </w:r>
      <w:r w:rsidR="00226BF4" w:rsidRPr="007F5A04">
        <w:rPr>
          <w:rFonts w:ascii="Arial" w:hAnsi="Arial" w:cs="Arial"/>
          <w:shd w:val="clear" w:color="auto" w:fill="FFFFFF"/>
        </w:rPr>
        <w:t xml:space="preserve"> </w:t>
      </w:r>
      <w:r w:rsidRPr="007F5A04">
        <w:rPr>
          <w:rFonts w:ascii="Arial" w:hAnsi="Arial" w:cs="Arial"/>
        </w:rPr>
        <w:t xml:space="preserve"> </w:t>
      </w:r>
    </w:p>
    <w:p w14:paraId="0E88F0C9" w14:textId="29B19219" w:rsidR="000C1B40" w:rsidRDefault="00B54251" w:rsidP="003D4E19">
      <w:pPr>
        <w:tabs>
          <w:tab w:val="left" w:pos="660"/>
        </w:tabs>
        <w:spacing w:line="276" w:lineRule="auto"/>
        <w:ind w:right="339"/>
        <w:jc w:val="both"/>
        <w:rPr>
          <w:rFonts w:ascii="Arial" w:hAnsi="Arial" w:cs="Arial"/>
          <w:color w:val="212529"/>
          <w:shd w:val="clear" w:color="auto" w:fill="FFFFFF"/>
        </w:rPr>
      </w:pPr>
      <w:r w:rsidRPr="00555ABE">
        <w:rPr>
          <w:rFonts w:ascii="Arial" w:hAnsi="Arial" w:cs="Arial"/>
        </w:rPr>
        <w:t>Local authorities</w:t>
      </w:r>
      <w:r w:rsidR="00226BF4" w:rsidRPr="00555ABE">
        <w:rPr>
          <w:rFonts w:ascii="Arial" w:hAnsi="Arial" w:cs="Arial"/>
        </w:rPr>
        <w:t xml:space="preserve"> do</w:t>
      </w:r>
      <w:r w:rsidRPr="00555ABE">
        <w:rPr>
          <w:rFonts w:ascii="Arial" w:hAnsi="Arial" w:cs="Arial"/>
        </w:rPr>
        <w:t xml:space="preserve"> have a duty</w:t>
      </w:r>
      <w:r w:rsidR="008D37BD" w:rsidRPr="00555ABE">
        <w:rPr>
          <w:rFonts w:ascii="Arial" w:hAnsi="Arial" w:cs="Arial"/>
        </w:rPr>
        <w:t xml:space="preserve"> under human rights law</w:t>
      </w:r>
      <w:r w:rsidRPr="00555ABE">
        <w:rPr>
          <w:rFonts w:ascii="Arial" w:hAnsi="Arial" w:cs="Arial"/>
        </w:rPr>
        <w:t xml:space="preserve">, however, to take measures designed to ensure that individuals within their jurisdiction are not subjected to torture or inhuman or degrading treatment, including such ill-treatment administered by private individuals. </w:t>
      </w:r>
      <w:r w:rsidR="00D00C0C" w:rsidRPr="00555ABE">
        <w:rPr>
          <w:rFonts w:ascii="Arial" w:hAnsi="Arial" w:cs="Arial"/>
        </w:rPr>
        <w:t>Article 3 of the Human Rights</w:t>
      </w:r>
      <w:r w:rsidR="00D00C0C" w:rsidRPr="0015512A">
        <w:rPr>
          <w:rFonts w:ascii="Arial" w:hAnsi="Arial" w:cs="Arial"/>
        </w:rPr>
        <w:t xml:space="preserve"> Act imposes </w:t>
      </w:r>
      <w:r w:rsidR="00D00C0C">
        <w:rPr>
          <w:rFonts w:ascii="Arial" w:eastAsia="Times New Roman" w:hAnsi="Arial" w:cs="Arial"/>
        </w:rPr>
        <w:t xml:space="preserve">a </w:t>
      </w:r>
      <w:r w:rsidR="00D00C0C" w:rsidRPr="00465F5A">
        <w:rPr>
          <w:rFonts w:ascii="Arial" w:eastAsia="Times New Roman" w:hAnsi="Arial" w:cs="Arial"/>
        </w:rPr>
        <w:t xml:space="preserve">general positive obligation to establish a framework of laws, precautions and means of enforcement to prevent the occurrence of torture, inhuman or degrading treatment, to the greatest extent possible; and </w:t>
      </w:r>
      <w:r w:rsidR="00D00C0C" w:rsidRPr="00465F5A">
        <w:rPr>
          <w:rFonts w:ascii="Arial" w:eastAsia="Times New Roman" w:hAnsi="Arial" w:cs="Arial"/>
        </w:rPr>
        <w:lastRenderedPageBreak/>
        <w:t>an operational obligation to take all reasonable preventative measures to protect people from known risks of inhuman or degrading treatment. The state is required to take reasonable measures to protect individuals from a real and immediate risk of Article 3 treatment of which the authorities know or ought to know.</w:t>
      </w:r>
      <w:r w:rsidR="00D00C0C">
        <w:rPr>
          <w:rFonts w:ascii="Arial" w:eastAsia="Times New Roman" w:hAnsi="Arial" w:cs="Arial"/>
        </w:rPr>
        <w:t xml:space="preserve"> </w:t>
      </w:r>
      <w:r w:rsidRPr="007F5A04">
        <w:rPr>
          <w:rFonts w:ascii="Arial" w:hAnsi="Arial" w:cs="Arial"/>
        </w:rPr>
        <w:t>These measures should provide effective protection, in particular, of children and other vulnerable persons and include reasonable steps to prevent ill</w:t>
      </w:r>
      <w:r w:rsidRPr="00555ABE">
        <w:rPr>
          <w:rFonts w:ascii="Arial" w:hAnsi="Arial" w:cs="Arial"/>
        </w:rPr>
        <w:t>-treatment of which the authorities had or ought to have had knowledge</w:t>
      </w:r>
      <w:r w:rsidR="00263E00" w:rsidRPr="00555ABE">
        <w:rPr>
          <w:rFonts w:ascii="Arial" w:hAnsi="Arial" w:cs="Arial"/>
        </w:rPr>
        <w:t xml:space="preserve">. The case of </w:t>
      </w:r>
      <w:r w:rsidR="00263E00" w:rsidRPr="00555ABE">
        <w:rPr>
          <w:rFonts w:ascii="Arial" w:hAnsi="Arial" w:cs="Arial"/>
          <w:i/>
          <w:iCs/>
        </w:rPr>
        <w:t>Z v UK</w:t>
      </w:r>
      <w:r w:rsidR="00454259" w:rsidRPr="00555ABE">
        <w:rPr>
          <w:rStyle w:val="FootnoteReference"/>
          <w:rFonts w:ascii="Arial" w:hAnsi="Arial" w:cs="Arial"/>
        </w:rPr>
        <w:footnoteReference w:id="7"/>
      </w:r>
      <w:r w:rsidR="00263E00" w:rsidRPr="00555ABE">
        <w:rPr>
          <w:rFonts w:ascii="Arial" w:hAnsi="Arial" w:cs="Arial"/>
        </w:rPr>
        <w:t xml:space="preserve"> established that a failure by the local authority to remove children from a situation where they are suffering neglect and abuse amounted to a breach of article 3 of the Human Rights Act. The Government at the time </w:t>
      </w:r>
      <w:r w:rsidR="00263E00" w:rsidRPr="00555ABE">
        <w:rPr>
          <w:rFonts w:ascii="Arial" w:hAnsi="Arial" w:cs="Arial"/>
          <w:shd w:val="clear" w:color="auto" w:fill="FFFFFF"/>
        </w:rPr>
        <w:t xml:space="preserve">conceded that the range of remedies at the disposal of the applicants was insufficiently effective and that, in the future, under the Human Rights Act 1998, victims of human rights breaches would be able to bring proceedings in courts empowered to award damages for those breaches. </w:t>
      </w:r>
      <w:r w:rsidR="008D37BD" w:rsidRPr="00555ABE">
        <w:rPr>
          <w:rFonts w:ascii="Arial" w:hAnsi="Arial" w:cs="Arial"/>
          <w:shd w:val="clear" w:color="auto" w:fill="FFFFFF"/>
        </w:rPr>
        <w:t>There is no doubt under current case law that sexual abuse, physical abuse and serious neglect of children amounts to “inhuman and degrading” treatment for the purposes of Article 3.</w:t>
      </w:r>
    </w:p>
    <w:p w14:paraId="7B630EC3" w14:textId="55A80D76" w:rsidR="00D00C0C" w:rsidRDefault="003E24A0" w:rsidP="003D4E19">
      <w:pPr>
        <w:tabs>
          <w:tab w:val="left" w:pos="660"/>
        </w:tabs>
        <w:spacing w:line="276" w:lineRule="auto"/>
        <w:ind w:right="339"/>
        <w:jc w:val="both"/>
        <w:rPr>
          <w:rFonts w:ascii="Arial" w:hAnsi="Arial" w:cs="Arial"/>
        </w:rPr>
      </w:pPr>
      <w:r>
        <w:rPr>
          <w:rFonts w:ascii="Arial" w:hAnsi="Arial" w:cs="Arial"/>
        </w:rPr>
        <w:t xml:space="preserve">In </w:t>
      </w:r>
      <w:r>
        <w:rPr>
          <w:rFonts w:ascii="Arial" w:hAnsi="Arial" w:cs="Arial"/>
          <w:i/>
          <w:iCs/>
        </w:rPr>
        <w:t xml:space="preserve">The Commissioner of the Police of the Metropolis v </w:t>
      </w:r>
      <w:r w:rsidR="00D00C0C" w:rsidRPr="003E24A0">
        <w:rPr>
          <w:rFonts w:ascii="Arial" w:hAnsi="Arial" w:cs="Arial"/>
          <w:i/>
          <w:iCs/>
        </w:rPr>
        <w:t>DSD</w:t>
      </w:r>
      <w:r>
        <w:rPr>
          <w:rStyle w:val="FootnoteReference"/>
          <w:rFonts w:ascii="Arial" w:hAnsi="Arial" w:cs="Arial"/>
          <w:i/>
          <w:iCs/>
        </w:rPr>
        <w:footnoteReference w:id="8"/>
      </w:r>
      <w:r w:rsidR="00D00C0C" w:rsidRPr="0015512A">
        <w:rPr>
          <w:rFonts w:ascii="Arial" w:hAnsi="Arial" w:cs="Arial"/>
          <w:i/>
          <w:iCs/>
        </w:rPr>
        <w:t xml:space="preserve">, </w:t>
      </w:r>
      <w:r w:rsidR="00D00C0C" w:rsidRPr="0015512A">
        <w:rPr>
          <w:rFonts w:ascii="Arial" w:hAnsi="Arial" w:cs="Arial"/>
        </w:rPr>
        <w:t xml:space="preserve">for example, survivors were able to bring </w:t>
      </w:r>
      <w:proofErr w:type="gramStart"/>
      <w:r w:rsidR="00D00C0C" w:rsidRPr="0015512A">
        <w:rPr>
          <w:rFonts w:ascii="Arial" w:hAnsi="Arial" w:cs="Arial"/>
        </w:rPr>
        <w:t>a human rights</w:t>
      </w:r>
      <w:proofErr w:type="gramEnd"/>
      <w:r w:rsidR="00D00C0C" w:rsidRPr="0015512A">
        <w:rPr>
          <w:rFonts w:ascii="Arial" w:hAnsi="Arial" w:cs="Arial"/>
        </w:rPr>
        <w:t xml:space="preserve"> claim against the </w:t>
      </w:r>
      <w:r w:rsidR="00D00C0C">
        <w:rPr>
          <w:rFonts w:ascii="Arial" w:hAnsi="Arial" w:cs="Arial"/>
        </w:rPr>
        <w:t>M</w:t>
      </w:r>
      <w:r w:rsidR="00D00C0C" w:rsidRPr="0015512A">
        <w:rPr>
          <w:rFonts w:ascii="Arial" w:hAnsi="Arial" w:cs="Arial"/>
        </w:rPr>
        <w:t xml:space="preserve">etropolitan </w:t>
      </w:r>
      <w:r w:rsidR="00D00C0C">
        <w:rPr>
          <w:rFonts w:ascii="Arial" w:hAnsi="Arial" w:cs="Arial"/>
        </w:rPr>
        <w:t>P</w:t>
      </w:r>
      <w:r w:rsidR="00D00C0C" w:rsidRPr="0015512A">
        <w:rPr>
          <w:rFonts w:ascii="Arial" w:hAnsi="Arial" w:cs="Arial"/>
        </w:rPr>
        <w:t>olic</w:t>
      </w:r>
      <w:r w:rsidR="00D00C0C">
        <w:rPr>
          <w:rFonts w:ascii="Arial" w:hAnsi="Arial" w:cs="Arial"/>
        </w:rPr>
        <w:t>e</w:t>
      </w:r>
      <w:r w:rsidR="00D00C0C" w:rsidRPr="0015512A">
        <w:rPr>
          <w:rFonts w:ascii="Arial" w:hAnsi="Arial" w:cs="Arial"/>
        </w:rPr>
        <w:t xml:space="preserve"> for failing to apprehend </w:t>
      </w:r>
      <w:r w:rsidR="00D00C0C">
        <w:rPr>
          <w:rFonts w:ascii="Arial" w:hAnsi="Arial" w:cs="Arial"/>
        </w:rPr>
        <w:t xml:space="preserve">the rapist, </w:t>
      </w:r>
      <w:r w:rsidR="00D00C0C" w:rsidRPr="0015512A">
        <w:rPr>
          <w:rFonts w:ascii="Arial" w:hAnsi="Arial" w:cs="Arial"/>
        </w:rPr>
        <w:t xml:space="preserve">John </w:t>
      </w:r>
      <w:proofErr w:type="spellStart"/>
      <w:r w:rsidR="00D00C0C" w:rsidRPr="0015512A">
        <w:rPr>
          <w:rFonts w:ascii="Arial" w:hAnsi="Arial" w:cs="Arial"/>
        </w:rPr>
        <w:t>Worboy</w:t>
      </w:r>
      <w:r w:rsidR="00D00C0C">
        <w:rPr>
          <w:rFonts w:ascii="Arial" w:hAnsi="Arial" w:cs="Arial"/>
        </w:rPr>
        <w:t>s</w:t>
      </w:r>
      <w:proofErr w:type="spellEnd"/>
      <w:r w:rsidR="00D00C0C" w:rsidRPr="0015512A">
        <w:rPr>
          <w:rFonts w:ascii="Arial" w:hAnsi="Arial" w:cs="Arial"/>
        </w:rPr>
        <w:t xml:space="preserve">. Had the police conducted an effective investigation, he would have been caught sooner and the women who were attacked later on would have been spared. The court held that there </w:t>
      </w:r>
      <w:r w:rsidR="00D00C0C">
        <w:rPr>
          <w:rFonts w:ascii="Arial" w:hAnsi="Arial" w:cs="Arial"/>
        </w:rPr>
        <w:t xml:space="preserve">were </w:t>
      </w:r>
      <w:r w:rsidR="00D00C0C" w:rsidRPr="0015512A">
        <w:rPr>
          <w:rFonts w:ascii="Arial" w:hAnsi="Arial" w:cs="Arial"/>
        </w:rPr>
        <w:t>positive obligations on the state to investigate rape and sexual assault promptly</w:t>
      </w:r>
      <w:r w:rsidR="00947636">
        <w:rPr>
          <w:rFonts w:ascii="Arial" w:hAnsi="Arial" w:cs="Arial"/>
        </w:rPr>
        <w:t xml:space="preserve"> and effectively</w:t>
      </w:r>
      <w:r w:rsidR="00D00C0C" w:rsidRPr="0015512A">
        <w:rPr>
          <w:rFonts w:ascii="Arial" w:hAnsi="Arial" w:cs="Arial"/>
        </w:rPr>
        <w:t>, and</w:t>
      </w:r>
      <w:r w:rsidR="00947636">
        <w:rPr>
          <w:rFonts w:ascii="Arial" w:hAnsi="Arial" w:cs="Arial"/>
        </w:rPr>
        <w:t xml:space="preserve"> if there were serious failings in this regard then compensation may be payable for breaches to the victims’ human rights.</w:t>
      </w:r>
      <w:r w:rsidR="00D00C0C" w:rsidRPr="0015512A">
        <w:rPr>
          <w:rFonts w:ascii="Arial" w:hAnsi="Arial" w:cs="Arial"/>
        </w:rPr>
        <w:t xml:space="preserve"> </w:t>
      </w:r>
    </w:p>
    <w:p w14:paraId="46281C4B" w14:textId="6B502610" w:rsidR="00947636" w:rsidRPr="009A140C" w:rsidRDefault="00947636" w:rsidP="003D4E19">
      <w:pPr>
        <w:tabs>
          <w:tab w:val="left" w:pos="660"/>
        </w:tabs>
        <w:spacing w:line="276" w:lineRule="auto"/>
        <w:ind w:right="339"/>
        <w:jc w:val="both"/>
        <w:rPr>
          <w:rFonts w:ascii="Arial" w:hAnsi="Arial" w:cs="Arial"/>
        </w:rPr>
      </w:pPr>
      <w:r>
        <w:rPr>
          <w:rFonts w:ascii="Arial" w:hAnsi="Arial" w:cs="Arial"/>
        </w:rPr>
        <w:t>In light of the current difficulties survivors of childhood abuse face in holding public authorities to account under the common law of negligence where there have been serious failures to protect them from abuse, it is vital that accountability and redress can still be achieved under human rights legislation to protect some of the most vulnerable persons in our society. The positive obligations imposed upon States pursuant to Article 3</w:t>
      </w:r>
      <w:r w:rsidR="00A73A6F">
        <w:rPr>
          <w:rFonts w:ascii="Arial" w:hAnsi="Arial" w:cs="Arial"/>
        </w:rPr>
        <w:t xml:space="preserve"> and the ability for claimants to seek redress for any related breaches in the domestic courts under the HRA 1998 is an important safeguard that must be protected.</w:t>
      </w:r>
    </w:p>
    <w:p w14:paraId="0AEEA09A" w14:textId="08D413DE" w:rsidR="00226BF4" w:rsidRPr="009A140C" w:rsidRDefault="00226BF4" w:rsidP="003D4E19">
      <w:pPr>
        <w:tabs>
          <w:tab w:val="left" w:pos="660"/>
        </w:tabs>
        <w:spacing w:line="276" w:lineRule="auto"/>
        <w:ind w:right="339"/>
        <w:jc w:val="both"/>
        <w:rPr>
          <w:rFonts w:ascii="Arial" w:hAnsi="Arial" w:cs="Arial"/>
          <w:i/>
          <w:iCs/>
          <w:color w:val="212529"/>
          <w:shd w:val="clear" w:color="auto" w:fill="FFFFFF"/>
        </w:rPr>
      </w:pPr>
      <w:r>
        <w:rPr>
          <w:rFonts w:ascii="Arial" w:hAnsi="Arial" w:cs="Arial"/>
          <w:i/>
          <w:iCs/>
          <w:color w:val="212529"/>
          <w:shd w:val="clear" w:color="auto" w:fill="FFFFFF"/>
        </w:rPr>
        <w:t>Further hurdles would be a retrograde step</w:t>
      </w:r>
    </w:p>
    <w:p w14:paraId="0ED5EE67" w14:textId="77777777" w:rsidR="0015512A" w:rsidRPr="009A140C" w:rsidRDefault="0015512A" w:rsidP="0015512A">
      <w:pPr>
        <w:shd w:val="clear" w:color="auto" w:fill="FFFFFF"/>
        <w:spacing w:after="300" w:line="276" w:lineRule="auto"/>
        <w:contextualSpacing/>
        <w:jc w:val="both"/>
        <w:rPr>
          <w:rFonts w:ascii="Arial" w:hAnsi="Arial" w:cs="Arial"/>
        </w:rPr>
      </w:pPr>
      <w:r w:rsidRPr="009A140C">
        <w:rPr>
          <w:rFonts w:ascii="Arial" w:hAnsi="Arial" w:cs="Arial"/>
        </w:rPr>
        <w:t xml:space="preserve">APIL has previously highlighted the restrictive nature of the Human Rights Act limitation period and that it is problematic for survivors of historic sexual abuse. As was set out in APIL’s evidence to the Independent Inquiry into Child Sexual Abuse investigation into accountability and reparations for abuse survivors, the time limit for Human Rights Act claims is even more restrictive than the civil claims process.  It is either </w:t>
      </w:r>
      <w:proofErr w:type="gramStart"/>
      <w:r w:rsidRPr="009A140C">
        <w:rPr>
          <w:rFonts w:ascii="Arial" w:hAnsi="Arial" w:cs="Arial"/>
        </w:rPr>
        <w:t>one year</w:t>
      </w:r>
      <w:proofErr w:type="gramEnd"/>
      <w:r w:rsidRPr="009A140C">
        <w:rPr>
          <w:rFonts w:ascii="Arial" w:hAnsi="Arial" w:cs="Arial"/>
        </w:rPr>
        <w:t xml:space="preserve"> (s7(5)(a) HRA 1998) or </w:t>
      </w:r>
      <w:r w:rsidRPr="009A140C">
        <w:rPr>
          <w:rFonts w:ascii="Arial" w:hAnsi="Arial" w:cs="Arial"/>
          <w:i/>
        </w:rPr>
        <w:t xml:space="preserve">‘such longer period as the court or tribunal considers equitable having regard to all the circumstances’ </w:t>
      </w:r>
      <w:r w:rsidRPr="009A140C">
        <w:rPr>
          <w:rFonts w:ascii="Arial" w:hAnsi="Arial" w:cs="Arial"/>
        </w:rPr>
        <w:t>(s 7(5)(b))</w:t>
      </w:r>
      <w:r w:rsidRPr="009A140C">
        <w:rPr>
          <w:rFonts w:ascii="Arial" w:hAnsi="Arial" w:cs="Arial"/>
          <w:i/>
        </w:rPr>
        <w:t xml:space="preserve">. </w:t>
      </w:r>
      <w:r w:rsidRPr="009A140C">
        <w:rPr>
          <w:rFonts w:ascii="Arial" w:hAnsi="Arial" w:cs="Arial"/>
        </w:rPr>
        <w:t>The one year applies in all circumstances against protected parties, including those at any age who lack capacity and also children.  If a breach of a child’s human rights occurred on their 1</w:t>
      </w:r>
      <w:r w:rsidRPr="009A140C">
        <w:rPr>
          <w:rFonts w:ascii="Arial" w:hAnsi="Arial" w:cs="Arial"/>
          <w:vertAlign w:val="superscript"/>
        </w:rPr>
        <w:t>st</w:t>
      </w:r>
      <w:r w:rsidRPr="009A140C">
        <w:rPr>
          <w:rFonts w:ascii="Arial" w:hAnsi="Arial" w:cs="Arial"/>
        </w:rPr>
        <w:t xml:space="preserve"> birthday, the time limit for bring any HRA claim would expire the day before their 2</w:t>
      </w:r>
      <w:r w:rsidRPr="009A140C">
        <w:rPr>
          <w:rFonts w:ascii="Arial" w:hAnsi="Arial" w:cs="Arial"/>
          <w:vertAlign w:val="superscript"/>
        </w:rPr>
        <w:t>nd</w:t>
      </w:r>
      <w:r w:rsidRPr="009A140C">
        <w:rPr>
          <w:rFonts w:ascii="Arial" w:hAnsi="Arial" w:cs="Arial"/>
        </w:rPr>
        <w:t xml:space="preserve"> birthday.  This is inherently restrictive and unfair.  Despite the wording in s7(5)(b), the case law relating to extension of time in HRA cases of all kinds has not, by and large, interpreted this favourably to the claimant and therefore it is very rare that the courts will allow any HRA claim to proceed later than the </w:t>
      </w:r>
      <w:proofErr w:type="gramStart"/>
      <w:r w:rsidRPr="009A140C">
        <w:rPr>
          <w:rFonts w:ascii="Arial" w:hAnsi="Arial" w:cs="Arial"/>
        </w:rPr>
        <w:t>one year</w:t>
      </w:r>
      <w:proofErr w:type="gramEnd"/>
      <w:r w:rsidRPr="009A140C">
        <w:rPr>
          <w:rFonts w:ascii="Arial" w:hAnsi="Arial" w:cs="Arial"/>
        </w:rPr>
        <w:t xml:space="preserve"> period.  APIL invited the inquiry to consider this aspect when looking at possible reform of the law of limitation. </w:t>
      </w:r>
    </w:p>
    <w:p w14:paraId="0B53B833" w14:textId="77777777" w:rsidR="004609F0" w:rsidRDefault="004609F0" w:rsidP="003D4E19">
      <w:pPr>
        <w:tabs>
          <w:tab w:val="left" w:pos="660"/>
        </w:tabs>
        <w:spacing w:line="276" w:lineRule="auto"/>
        <w:ind w:right="339"/>
        <w:jc w:val="both"/>
        <w:rPr>
          <w:rFonts w:ascii="Arial" w:hAnsi="Arial" w:cs="Arial"/>
        </w:rPr>
      </w:pPr>
    </w:p>
    <w:p w14:paraId="5DEF6A5A" w14:textId="2008C3FE" w:rsidR="0015512A" w:rsidRDefault="0015512A" w:rsidP="003D4E19">
      <w:pPr>
        <w:tabs>
          <w:tab w:val="left" w:pos="660"/>
        </w:tabs>
        <w:spacing w:line="276" w:lineRule="auto"/>
        <w:ind w:right="339"/>
        <w:jc w:val="both"/>
        <w:rPr>
          <w:rFonts w:ascii="Arial" w:hAnsi="Arial" w:cs="Arial"/>
        </w:rPr>
      </w:pPr>
      <w:r w:rsidRPr="009A140C">
        <w:rPr>
          <w:rFonts w:ascii="Arial" w:hAnsi="Arial" w:cs="Arial"/>
        </w:rPr>
        <w:t xml:space="preserve">Given that the limitation period for </w:t>
      </w:r>
      <w:r w:rsidR="00454259">
        <w:rPr>
          <w:rFonts w:ascii="Arial" w:hAnsi="Arial" w:cs="Arial"/>
        </w:rPr>
        <w:t>H</w:t>
      </w:r>
      <w:r w:rsidRPr="009A140C">
        <w:rPr>
          <w:rFonts w:ascii="Arial" w:hAnsi="Arial" w:cs="Arial"/>
        </w:rPr>
        <w:t xml:space="preserve">uman </w:t>
      </w:r>
      <w:r w:rsidR="00454259">
        <w:rPr>
          <w:rFonts w:ascii="Arial" w:hAnsi="Arial" w:cs="Arial"/>
        </w:rPr>
        <w:t>R</w:t>
      </w:r>
      <w:r w:rsidRPr="009A140C">
        <w:rPr>
          <w:rFonts w:ascii="Arial" w:hAnsi="Arial" w:cs="Arial"/>
        </w:rPr>
        <w:t xml:space="preserve">ights </w:t>
      </w:r>
      <w:r w:rsidR="00454259">
        <w:rPr>
          <w:rFonts w:ascii="Arial" w:hAnsi="Arial" w:cs="Arial"/>
        </w:rPr>
        <w:t>A</w:t>
      </w:r>
      <w:r w:rsidRPr="009A140C">
        <w:rPr>
          <w:rFonts w:ascii="Arial" w:hAnsi="Arial" w:cs="Arial"/>
        </w:rPr>
        <w:t xml:space="preserve">ct claims </w:t>
      </w:r>
      <w:r w:rsidR="00454259">
        <w:rPr>
          <w:rFonts w:ascii="Arial" w:hAnsi="Arial" w:cs="Arial"/>
        </w:rPr>
        <w:t xml:space="preserve">is already </w:t>
      </w:r>
      <w:r w:rsidRPr="009A140C">
        <w:rPr>
          <w:rFonts w:ascii="Arial" w:hAnsi="Arial" w:cs="Arial"/>
        </w:rPr>
        <w:t xml:space="preserve">problematic for survivors of abuse, it would be a retrograde step for survivors if further hurdles were put in place to make the bringing of </w:t>
      </w:r>
      <w:proofErr w:type="gramStart"/>
      <w:r w:rsidRPr="009A140C">
        <w:rPr>
          <w:rFonts w:ascii="Arial" w:hAnsi="Arial" w:cs="Arial"/>
        </w:rPr>
        <w:t>a human rights</w:t>
      </w:r>
      <w:proofErr w:type="gramEnd"/>
      <w:r w:rsidRPr="009A140C">
        <w:rPr>
          <w:rFonts w:ascii="Arial" w:hAnsi="Arial" w:cs="Arial"/>
        </w:rPr>
        <w:t xml:space="preserve"> claim even more difficult. It is clear from the evidence to the I</w:t>
      </w:r>
      <w:r w:rsidR="00454259">
        <w:rPr>
          <w:rFonts w:ascii="Arial" w:hAnsi="Arial" w:cs="Arial"/>
        </w:rPr>
        <w:t xml:space="preserve">ndependent Inquiry into </w:t>
      </w:r>
      <w:r w:rsidRPr="009A140C">
        <w:rPr>
          <w:rFonts w:ascii="Arial" w:hAnsi="Arial" w:cs="Arial"/>
        </w:rPr>
        <w:t>C</w:t>
      </w:r>
      <w:r w:rsidR="00454259">
        <w:rPr>
          <w:rFonts w:ascii="Arial" w:hAnsi="Arial" w:cs="Arial"/>
        </w:rPr>
        <w:t xml:space="preserve">hild </w:t>
      </w:r>
      <w:r w:rsidRPr="009A140C">
        <w:rPr>
          <w:rFonts w:ascii="Arial" w:hAnsi="Arial" w:cs="Arial"/>
        </w:rPr>
        <w:t>S</w:t>
      </w:r>
      <w:r w:rsidR="00454259">
        <w:rPr>
          <w:rFonts w:ascii="Arial" w:hAnsi="Arial" w:cs="Arial"/>
        </w:rPr>
        <w:t xml:space="preserve">exual </w:t>
      </w:r>
      <w:r w:rsidRPr="009A140C">
        <w:rPr>
          <w:rFonts w:ascii="Arial" w:hAnsi="Arial" w:cs="Arial"/>
        </w:rPr>
        <w:t>A</w:t>
      </w:r>
      <w:r w:rsidR="00454259">
        <w:rPr>
          <w:rFonts w:ascii="Arial" w:hAnsi="Arial" w:cs="Arial"/>
        </w:rPr>
        <w:t>buse</w:t>
      </w:r>
      <w:r w:rsidRPr="009A140C">
        <w:rPr>
          <w:rFonts w:ascii="Arial" w:hAnsi="Arial" w:cs="Arial"/>
        </w:rPr>
        <w:t xml:space="preserve"> </w:t>
      </w:r>
      <w:r w:rsidR="00454259">
        <w:rPr>
          <w:rFonts w:ascii="Arial" w:hAnsi="Arial" w:cs="Arial"/>
        </w:rPr>
        <w:t>investigation into</w:t>
      </w:r>
      <w:r w:rsidRPr="009A140C">
        <w:rPr>
          <w:rFonts w:ascii="Arial" w:hAnsi="Arial" w:cs="Arial"/>
        </w:rPr>
        <w:t xml:space="preserve"> accountability and reparations for survivors of historic child sexual abuse that claimant and insurer representatives alike are in favour of steps to remove hurdles to bringing historic abuse claims. T</w:t>
      </w:r>
      <w:r w:rsidR="00454259">
        <w:rPr>
          <w:rFonts w:ascii="Arial" w:hAnsi="Arial" w:cs="Arial"/>
        </w:rPr>
        <w:t>he proposals relating to human rights claims that the Government suggests in this paper will simply add more hurdles, going against the clear evidence provided by the parties to the IICSA inquiry of the issues that arise in these claims in relation to limitation</w:t>
      </w:r>
      <w:r w:rsidRPr="009A140C">
        <w:rPr>
          <w:rFonts w:ascii="Arial" w:hAnsi="Arial" w:cs="Arial"/>
        </w:rPr>
        <w:t>.</w:t>
      </w:r>
    </w:p>
    <w:p w14:paraId="65A20698" w14:textId="77777777" w:rsidR="004609F0" w:rsidRDefault="002B48F6" w:rsidP="003D4E19">
      <w:pPr>
        <w:tabs>
          <w:tab w:val="left" w:pos="660"/>
        </w:tabs>
        <w:spacing w:line="276" w:lineRule="auto"/>
        <w:ind w:right="339"/>
        <w:jc w:val="both"/>
        <w:rPr>
          <w:rFonts w:ascii="Arial" w:hAnsi="Arial" w:cs="Arial"/>
        </w:rPr>
      </w:pPr>
      <w:bookmarkStart w:id="0" w:name="_Hlk97042363"/>
      <w:r>
        <w:rPr>
          <w:rFonts w:ascii="Arial" w:hAnsi="Arial" w:cs="Arial"/>
          <w:b/>
          <w:bCs/>
        </w:rPr>
        <w:t>Clinical negligence claims</w:t>
      </w:r>
      <w:r w:rsidR="004609F0">
        <w:rPr>
          <w:rFonts w:ascii="Arial" w:hAnsi="Arial" w:cs="Arial"/>
        </w:rPr>
        <w:t xml:space="preserve"> </w:t>
      </w:r>
    </w:p>
    <w:p w14:paraId="6333E13B" w14:textId="41388671" w:rsidR="00D97D65" w:rsidRDefault="009C417A" w:rsidP="003D4E19">
      <w:pPr>
        <w:tabs>
          <w:tab w:val="left" w:pos="660"/>
        </w:tabs>
        <w:spacing w:line="276" w:lineRule="auto"/>
        <w:ind w:right="339"/>
        <w:jc w:val="both"/>
        <w:rPr>
          <w:rFonts w:ascii="Arial" w:hAnsi="Arial" w:cs="Arial"/>
        </w:rPr>
      </w:pPr>
      <w:r>
        <w:rPr>
          <w:rFonts w:ascii="Arial" w:hAnsi="Arial" w:cs="Arial"/>
        </w:rPr>
        <w:t xml:space="preserve">As above in the both military and abuse claims, </w:t>
      </w:r>
      <w:r w:rsidR="004609F0">
        <w:rPr>
          <w:rFonts w:ascii="Arial" w:hAnsi="Arial" w:cs="Arial"/>
        </w:rPr>
        <w:t xml:space="preserve">in a medical setting </w:t>
      </w:r>
      <w:r>
        <w:rPr>
          <w:rFonts w:ascii="Arial" w:hAnsi="Arial" w:cs="Arial"/>
        </w:rPr>
        <w:t>the Human Rights Act can provide a route to redres</w:t>
      </w:r>
      <w:r w:rsidR="004609F0">
        <w:rPr>
          <w:rFonts w:ascii="Arial" w:hAnsi="Arial" w:cs="Arial"/>
        </w:rPr>
        <w:t>s for families</w:t>
      </w:r>
      <w:r>
        <w:rPr>
          <w:rFonts w:ascii="Arial" w:hAnsi="Arial" w:cs="Arial"/>
        </w:rPr>
        <w:t xml:space="preserve"> where others are not available</w:t>
      </w:r>
      <w:r w:rsidR="00900AB7">
        <w:rPr>
          <w:rFonts w:ascii="Arial" w:hAnsi="Arial" w:cs="Arial"/>
        </w:rPr>
        <w:t>, for example</w:t>
      </w:r>
      <w:r>
        <w:rPr>
          <w:rFonts w:ascii="Arial" w:hAnsi="Arial" w:cs="Arial"/>
        </w:rPr>
        <w:t xml:space="preserve"> in the case of </w:t>
      </w:r>
      <w:proofErr w:type="spellStart"/>
      <w:r>
        <w:rPr>
          <w:rFonts w:ascii="Arial" w:hAnsi="Arial" w:cs="Arial"/>
          <w:i/>
          <w:iCs/>
        </w:rPr>
        <w:t>Rabone</w:t>
      </w:r>
      <w:proofErr w:type="spellEnd"/>
      <w:r w:rsidR="00900AB7">
        <w:rPr>
          <w:rFonts w:ascii="Arial" w:hAnsi="Arial" w:cs="Arial"/>
          <w:i/>
          <w:iCs/>
        </w:rPr>
        <w:t xml:space="preserve"> v </w:t>
      </w:r>
      <w:proofErr w:type="spellStart"/>
      <w:r w:rsidR="00900AB7">
        <w:rPr>
          <w:rFonts w:ascii="Arial" w:hAnsi="Arial" w:cs="Arial"/>
          <w:i/>
          <w:iCs/>
        </w:rPr>
        <w:t>Penine</w:t>
      </w:r>
      <w:proofErr w:type="spellEnd"/>
      <w:r w:rsidR="00900AB7">
        <w:rPr>
          <w:rFonts w:ascii="Arial" w:hAnsi="Arial" w:cs="Arial"/>
          <w:i/>
          <w:iCs/>
        </w:rPr>
        <w:t xml:space="preserve"> Care NHS Trust</w:t>
      </w:r>
      <w:r w:rsidR="00900AB7">
        <w:rPr>
          <w:rStyle w:val="FootnoteReference"/>
          <w:rFonts w:ascii="Arial" w:hAnsi="Arial" w:cs="Arial"/>
          <w:i/>
          <w:iCs/>
        </w:rPr>
        <w:footnoteReference w:id="9"/>
      </w:r>
      <w:r>
        <w:rPr>
          <w:rFonts w:ascii="Arial" w:hAnsi="Arial" w:cs="Arial"/>
          <w:i/>
          <w:iCs/>
        </w:rPr>
        <w:t xml:space="preserve">, </w:t>
      </w:r>
      <w:r>
        <w:rPr>
          <w:rFonts w:ascii="Arial" w:hAnsi="Arial" w:cs="Arial"/>
        </w:rPr>
        <w:t>where the family of a young girl who committed suicide were unable to claim</w:t>
      </w:r>
      <w:r w:rsidR="00900AB7">
        <w:rPr>
          <w:rFonts w:ascii="Arial" w:hAnsi="Arial" w:cs="Arial"/>
        </w:rPr>
        <w:t xml:space="preserve"> bereavement damages, and there was no claim for dependency. </w:t>
      </w:r>
      <w:r w:rsidR="00EE2AEF">
        <w:rPr>
          <w:rFonts w:ascii="Arial" w:hAnsi="Arial" w:cs="Arial"/>
          <w:lang w:val="en-US"/>
        </w:rPr>
        <w:t xml:space="preserve">The inquest was complex and the ability to rely on the human rights element ensured </w:t>
      </w:r>
      <w:r w:rsidR="00900AB7">
        <w:rPr>
          <w:rFonts w:ascii="Arial" w:hAnsi="Arial" w:cs="Arial"/>
          <w:lang w:val="en-US"/>
        </w:rPr>
        <w:t xml:space="preserve">that the bereaved </w:t>
      </w:r>
      <w:r w:rsidR="00EE2AEF">
        <w:rPr>
          <w:rFonts w:ascii="Arial" w:hAnsi="Arial" w:cs="Arial"/>
          <w:lang w:val="en-US"/>
        </w:rPr>
        <w:t xml:space="preserve">family had access to justice and a remedy that was not available under any other means. </w:t>
      </w:r>
      <w:r w:rsidR="00C15CF0">
        <w:rPr>
          <w:rFonts w:ascii="Arial" w:hAnsi="Arial" w:cs="Arial"/>
        </w:rPr>
        <w:t>In our members’ experience, t</w:t>
      </w:r>
      <w:r>
        <w:rPr>
          <w:rFonts w:ascii="Arial" w:hAnsi="Arial" w:cs="Arial"/>
        </w:rPr>
        <w:t>he majority of clinical negligence claims that include a claim under the Human Rights Act are suicides where the patient has been sectioned under the Mental Health Act. A</w:t>
      </w:r>
      <w:r w:rsidR="00900AB7">
        <w:rPr>
          <w:rFonts w:ascii="Arial" w:hAnsi="Arial" w:cs="Arial"/>
        </w:rPr>
        <w:t>s mentioned above, a</w:t>
      </w:r>
      <w:r>
        <w:rPr>
          <w:rFonts w:ascii="Arial" w:hAnsi="Arial" w:cs="Arial"/>
        </w:rPr>
        <w:t xml:space="preserve">n engagement of Article 2 means that legal aid will be available to the family </w:t>
      </w:r>
      <w:r w:rsidR="001713A8">
        <w:rPr>
          <w:rFonts w:ascii="Arial" w:hAnsi="Arial" w:cs="Arial"/>
        </w:rPr>
        <w:t xml:space="preserve">of the deceased for representation at the inquest. </w:t>
      </w:r>
      <w:r w:rsidR="00D97D65">
        <w:rPr>
          <w:rFonts w:ascii="Arial" w:hAnsi="Arial" w:cs="Arial"/>
        </w:rPr>
        <w:t>This enables the family to be properly represented and allows them to fully engage with the inquest process. If, as expressed above, changes to human rights law in the UK made it more difficult to prove that these rights are engaged, many will find it impo</w:t>
      </w:r>
      <w:r w:rsidR="00836673">
        <w:rPr>
          <w:rFonts w:ascii="Arial" w:hAnsi="Arial" w:cs="Arial"/>
        </w:rPr>
        <w:t>s</w:t>
      </w:r>
      <w:r w:rsidR="00D97D65">
        <w:rPr>
          <w:rFonts w:ascii="Arial" w:hAnsi="Arial" w:cs="Arial"/>
        </w:rPr>
        <w:t>sible to obtain representation by other means. Funding can sometimes be offered through a Conditional Fee Agreement</w:t>
      </w:r>
      <w:r w:rsidR="00900AB7">
        <w:rPr>
          <w:rFonts w:ascii="Arial" w:hAnsi="Arial" w:cs="Arial"/>
        </w:rPr>
        <w:t xml:space="preserve"> (CFA)</w:t>
      </w:r>
      <w:r w:rsidR="00D97D65">
        <w:rPr>
          <w:rFonts w:ascii="Arial" w:hAnsi="Arial" w:cs="Arial"/>
        </w:rPr>
        <w:t xml:space="preserve">, but this must be linked to a separate civil claim. </w:t>
      </w:r>
      <w:r w:rsidR="00836673">
        <w:rPr>
          <w:rFonts w:ascii="Arial" w:hAnsi="Arial" w:cs="Arial"/>
        </w:rPr>
        <w:t xml:space="preserve">The prospects of such a claim will be unknown until the conclusion of the inquest, and are often limited in value, if there are grounds for such a claim to be brought at all. This often means that a CFA is not a viable option. Even if a CFA is put in place and a separate civil claim is brought, there is also a risk that this could be settled before the inquest with an aim of preventing recovery of legal costs by the family, which leaves them with no representation at the inquest. </w:t>
      </w:r>
    </w:p>
    <w:p w14:paraId="4C772B5C" w14:textId="0E36F918" w:rsidR="002B48F6" w:rsidRDefault="00D97D65" w:rsidP="003D4E19">
      <w:pPr>
        <w:tabs>
          <w:tab w:val="left" w:pos="660"/>
        </w:tabs>
        <w:spacing w:line="276" w:lineRule="auto"/>
        <w:ind w:right="339"/>
        <w:jc w:val="both"/>
        <w:rPr>
          <w:rFonts w:ascii="Arial" w:hAnsi="Arial" w:cs="Arial"/>
        </w:rPr>
      </w:pPr>
      <w:r>
        <w:rPr>
          <w:rFonts w:ascii="Arial" w:hAnsi="Arial" w:cs="Arial"/>
        </w:rPr>
        <w:t xml:space="preserve">Application of Article 2 to clinical negligence inquests has become more limited in recent years following the judgement in </w:t>
      </w:r>
      <w:r>
        <w:rPr>
          <w:rFonts w:ascii="Arial" w:hAnsi="Arial" w:cs="Arial"/>
          <w:i/>
          <w:iCs/>
        </w:rPr>
        <w:t>Lopes de Sousa Fernandes v Portugal</w:t>
      </w:r>
      <w:r w:rsidR="00900AB7">
        <w:rPr>
          <w:rStyle w:val="FootnoteReference"/>
          <w:rFonts w:ascii="Arial" w:hAnsi="Arial" w:cs="Arial"/>
          <w:i/>
          <w:iCs/>
        </w:rPr>
        <w:footnoteReference w:id="10"/>
      </w:r>
      <w:r>
        <w:rPr>
          <w:rFonts w:ascii="Arial" w:hAnsi="Arial" w:cs="Arial"/>
          <w:i/>
          <w:iCs/>
        </w:rPr>
        <w:t xml:space="preserve">, </w:t>
      </w:r>
      <w:r>
        <w:rPr>
          <w:rFonts w:ascii="Arial" w:hAnsi="Arial" w:cs="Arial"/>
        </w:rPr>
        <w:t xml:space="preserve">and the High Court decision in </w:t>
      </w:r>
      <w:r w:rsidRPr="007F5A04">
        <w:rPr>
          <w:rFonts w:ascii="Arial" w:hAnsi="Arial" w:cs="Arial"/>
          <w:i/>
          <w:iCs/>
        </w:rPr>
        <w:t>(R) Parkinson v Senior Coroner for Kent</w:t>
      </w:r>
      <w:r w:rsidR="00900AB7">
        <w:rPr>
          <w:rStyle w:val="FootnoteReference"/>
          <w:rFonts w:ascii="Arial" w:hAnsi="Arial" w:cs="Arial"/>
          <w:i/>
          <w:iCs/>
        </w:rPr>
        <w:footnoteReference w:id="11"/>
      </w:r>
      <w:r w:rsidRPr="007F5A04">
        <w:rPr>
          <w:rFonts w:ascii="Arial" w:hAnsi="Arial" w:cs="Arial"/>
          <w:i/>
          <w:iCs/>
        </w:rPr>
        <w:t xml:space="preserve">. </w:t>
      </w:r>
      <w:r>
        <w:rPr>
          <w:rFonts w:ascii="Arial" w:hAnsi="Arial" w:cs="Arial"/>
        </w:rPr>
        <w:t>Article 2 is not engaged where there is “mere negligence”, but only where there is a failure which results from a “dysfunction in the hospital’s services that is a structural issue linked to deficiencies in the regulatory framework”. This demonstrates that the law surrounding human rights claims is robust and does not allow for “trivial” claims to be brought</w:t>
      </w:r>
      <w:r w:rsidR="00C15CF0">
        <w:rPr>
          <w:rFonts w:ascii="Arial" w:hAnsi="Arial" w:cs="Arial"/>
        </w:rPr>
        <w:t xml:space="preserve"> – the “trivial” or “unmeritorious” nature of human rights claims is a key theme throughout the consultation. Secondly, </w:t>
      </w:r>
      <w:r w:rsidR="00836673">
        <w:rPr>
          <w:rFonts w:ascii="Arial" w:hAnsi="Arial" w:cs="Arial"/>
        </w:rPr>
        <w:t xml:space="preserve">it is </w:t>
      </w:r>
      <w:r w:rsidR="00836673">
        <w:rPr>
          <w:rFonts w:ascii="Arial" w:hAnsi="Arial" w:cs="Arial"/>
        </w:rPr>
        <w:lastRenderedPageBreak/>
        <w:t xml:space="preserve">vital that no further hurdles are put in place to prevent those seeking to engage Article 2 in a clinical negligence claim, from doing so. </w:t>
      </w:r>
    </w:p>
    <w:p w14:paraId="5C5FDBBC" w14:textId="7B527494" w:rsidR="00836673" w:rsidRPr="007F5A04" w:rsidRDefault="00A76773" w:rsidP="003D4E19">
      <w:pPr>
        <w:tabs>
          <w:tab w:val="left" w:pos="660"/>
        </w:tabs>
        <w:spacing w:line="276" w:lineRule="auto"/>
        <w:ind w:right="339"/>
        <w:jc w:val="both"/>
        <w:rPr>
          <w:rFonts w:ascii="Arial" w:hAnsi="Arial" w:cs="Arial"/>
        </w:rPr>
      </w:pPr>
      <w:r>
        <w:rPr>
          <w:rFonts w:ascii="Arial" w:hAnsi="Arial" w:cs="Arial"/>
        </w:rPr>
        <w:t>As mentioned in relation to military claims, c</w:t>
      </w:r>
      <w:r w:rsidR="00836673">
        <w:rPr>
          <w:rFonts w:ascii="Arial" w:hAnsi="Arial" w:cs="Arial"/>
        </w:rPr>
        <w:t>onsideration of Article 2 at an inquest can allow for a wider scope of investigation, and non-causative f</w:t>
      </w:r>
      <w:r w:rsidR="00C15CF0">
        <w:rPr>
          <w:rFonts w:ascii="Arial" w:hAnsi="Arial" w:cs="Arial"/>
        </w:rPr>
        <w:t>i</w:t>
      </w:r>
      <w:r w:rsidR="00836673">
        <w:rPr>
          <w:rFonts w:ascii="Arial" w:hAnsi="Arial" w:cs="Arial"/>
        </w:rPr>
        <w:t>ndings and criticisms being included in the conclusion. If it becomes more difficult to engage Art</w:t>
      </w:r>
      <w:r>
        <w:rPr>
          <w:rFonts w:ascii="Arial" w:hAnsi="Arial" w:cs="Arial"/>
        </w:rPr>
        <w:t>icle</w:t>
      </w:r>
      <w:r w:rsidR="00836673">
        <w:rPr>
          <w:rFonts w:ascii="Arial" w:hAnsi="Arial" w:cs="Arial"/>
        </w:rPr>
        <w:t xml:space="preserve"> 2 at inquests, this may result in coroners conducting narrower enquiries and failing to consider wider issues. There have been </w:t>
      </w:r>
      <w:r w:rsidR="00900AB7">
        <w:rPr>
          <w:rFonts w:ascii="Arial" w:hAnsi="Arial" w:cs="Arial"/>
        </w:rPr>
        <w:t xml:space="preserve">a number of systemic failings in the NHS </w:t>
      </w:r>
      <w:r w:rsidR="00836673">
        <w:rPr>
          <w:rFonts w:ascii="Arial" w:hAnsi="Arial" w:cs="Arial"/>
        </w:rPr>
        <w:t xml:space="preserve">over recent years, </w:t>
      </w:r>
      <w:r w:rsidR="00C15CF0">
        <w:rPr>
          <w:rFonts w:ascii="Arial" w:hAnsi="Arial" w:cs="Arial"/>
        </w:rPr>
        <w:t>for example those identified at Shrewsbury and Telford and Nottingham NHS Trusts relating to maternity services. F</w:t>
      </w:r>
      <w:r w:rsidR="00836673">
        <w:rPr>
          <w:rFonts w:ascii="Arial" w:hAnsi="Arial" w:cs="Arial"/>
        </w:rPr>
        <w:t>ailure</w:t>
      </w:r>
      <w:r w:rsidR="00C15CF0">
        <w:rPr>
          <w:rFonts w:ascii="Arial" w:hAnsi="Arial" w:cs="Arial"/>
        </w:rPr>
        <w:t>s</w:t>
      </w:r>
      <w:r w:rsidR="00836673">
        <w:rPr>
          <w:rFonts w:ascii="Arial" w:hAnsi="Arial" w:cs="Arial"/>
        </w:rPr>
        <w:t xml:space="preserve"> to join together repeated mistakes</w:t>
      </w:r>
      <w:r w:rsidR="00C15CF0">
        <w:rPr>
          <w:rFonts w:ascii="Arial" w:hAnsi="Arial" w:cs="Arial"/>
        </w:rPr>
        <w:t>, including not carrying out inquests in the event of a stillbirth has often meant that each death was treated as a separate entity, rather than consideration of the wider structure and failings at an earlier stage. Funding for families at inquest will allow failures to be identified and lessons to be learned earlier. Restricting access to Article 2 even further than at present will only have a detrimental effect on bereaved families, and on the healthcare system as a whole, as repeated and systemic failures will go unrecognised</w:t>
      </w:r>
      <w:r>
        <w:rPr>
          <w:rFonts w:ascii="Arial" w:hAnsi="Arial" w:cs="Arial"/>
        </w:rPr>
        <w:t>,</w:t>
      </w:r>
      <w:r w:rsidR="00C15CF0">
        <w:rPr>
          <w:rFonts w:ascii="Arial" w:hAnsi="Arial" w:cs="Arial"/>
        </w:rPr>
        <w:t xml:space="preserve"> and avoidable deaths and harm will continue.  </w:t>
      </w:r>
    </w:p>
    <w:bookmarkEnd w:id="0"/>
    <w:p w14:paraId="28BF4A0E" w14:textId="77777777" w:rsidR="0078258F" w:rsidRPr="008109E7" w:rsidRDefault="0078258F" w:rsidP="0078258F">
      <w:pPr>
        <w:rPr>
          <w:rFonts w:ascii="Arial" w:hAnsi="Arial" w:cs="Arial"/>
        </w:rPr>
      </w:pPr>
      <w:r>
        <w:rPr>
          <w:rFonts w:ascii="Arial" w:hAnsi="Arial" w:cs="Arial"/>
        </w:rPr>
        <w:t>Any queries about this response should be, in the first instance, directed to:</w:t>
      </w:r>
    </w:p>
    <w:p w14:paraId="4D88BA40" w14:textId="77777777" w:rsidR="0078258F" w:rsidRDefault="0078258F" w:rsidP="0078258F">
      <w:pPr>
        <w:rPr>
          <w:rFonts w:ascii="Arial" w:hAnsi="Arial" w:cs="Arial"/>
          <w:b/>
          <w:bCs/>
        </w:rPr>
      </w:pPr>
      <w:r>
        <w:rPr>
          <w:rFonts w:ascii="Arial" w:hAnsi="Arial" w:cs="Arial"/>
          <w:b/>
          <w:bCs/>
        </w:rPr>
        <w:t xml:space="preserve">Alice Taylor </w:t>
      </w:r>
    </w:p>
    <w:p w14:paraId="115E07D0" w14:textId="77777777" w:rsidR="0078258F" w:rsidRDefault="0078258F" w:rsidP="0078258F">
      <w:pPr>
        <w:rPr>
          <w:rFonts w:ascii="Arial" w:hAnsi="Arial" w:cs="Arial"/>
          <w:b/>
          <w:bCs/>
        </w:rPr>
      </w:pPr>
      <w:r>
        <w:rPr>
          <w:rFonts w:ascii="Arial" w:hAnsi="Arial" w:cs="Arial"/>
          <w:b/>
          <w:bCs/>
        </w:rPr>
        <w:t>Legal Policy Manager</w:t>
      </w:r>
    </w:p>
    <w:p w14:paraId="5F5E72E1" w14:textId="77777777" w:rsidR="0078258F" w:rsidRDefault="0078258F" w:rsidP="0078258F">
      <w:pPr>
        <w:spacing w:after="0"/>
        <w:rPr>
          <w:rFonts w:ascii="Arial" w:hAnsi="Arial" w:cs="Arial"/>
        </w:rPr>
      </w:pPr>
      <w:r>
        <w:rPr>
          <w:rFonts w:ascii="Arial" w:hAnsi="Arial" w:cs="Arial"/>
        </w:rPr>
        <w:t xml:space="preserve">APIL </w:t>
      </w:r>
    </w:p>
    <w:p w14:paraId="456A040B" w14:textId="77777777" w:rsidR="0078258F" w:rsidRDefault="0078258F" w:rsidP="0078258F">
      <w:pPr>
        <w:spacing w:after="0"/>
        <w:rPr>
          <w:rFonts w:ascii="Arial" w:hAnsi="Arial" w:cs="Arial"/>
        </w:rPr>
      </w:pPr>
      <w:r>
        <w:rPr>
          <w:rFonts w:ascii="Arial" w:hAnsi="Arial" w:cs="Arial"/>
        </w:rPr>
        <w:t>3, Alder Court</w:t>
      </w:r>
    </w:p>
    <w:p w14:paraId="0F29FFD4" w14:textId="77777777" w:rsidR="0078258F" w:rsidRDefault="0078258F" w:rsidP="0078258F">
      <w:pPr>
        <w:spacing w:after="0"/>
        <w:rPr>
          <w:rFonts w:ascii="Arial" w:hAnsi="Arial" w:cs="Arial"/>
        </w:rPr>
      </w:pPr>
      <w:r>
        <w:rPr>
          <w:rFonts w:ascii="Arial" w:hAnsi="Arial" w:cs="Arial"/>
        </w:rPr>
        <w:t>Rennie Hogg Road</w:t>
      </w:r>
    </w:p>
    <w:p w14:paraId="594815B8" w14:textId="77777777" w:rsidR="0078258F" w:rsidRDefault="0078258F" w:rsidP="0078258F">
      <w:pPr>
        <w:spacing w:after="0"/>
        <w:rPr>
          <w:rFonts w:ascii="Arial" w:hAnsi="Arial" w:cs="Arial"/>
        </w:rPr>
      </w:pPr>
      <w:r>
        <w:rPr>
          <w:rFonts w:ascii="Arial" w:hAnsi="Arial" w:cs="Arial"/>
        </w:rPr>
        <w:t>Nottingham</w:t>
      </w:r>
    </w:p>
    <w:p w14:paraId="3D762C67" w14:textId="77777777" w:rsidR="0078258F" w:rsidRDefault="0078258F" w:rsidP="0078258F">
      <w:pPr>
        <w:spacing w:after="0"/>
        <w:rPr>
          <w:rFonts w:ascii="Arial" w:hAnsi="Arial" w:cs="Arial"/>
        </w:rPr>
      </w:pPr>
      <w:r>
        <w:rPr>
          <w:rFonts w:ascii="Arial" w:hAnsi="Arial" w:cs="Arial"/>
        </w:rPr>
        <w:t xml:space="preserve">NG2 1RX </w:t>
      </w:r>
    </w:p>
    <w:p w14:paraId="79924F38" w14:textId="77777777" w:rsidR="0078258F" w:rsidRDefault="0078258F" w:rsidP="0078258F">
      <w:pPr>
        <w:spacing w:after="0"/>
        <w:rPr>
          <w:rFonts w:ascii="Arial" w:eastAsia="Times New Roman" w:hAnsi="Arial" w:cs="Arial"/>
          <w:lang w:eastAsia="en-GB"/>
        </w:rPr>
      </w:pPr>
      <w:r>
        <w:rPr>
          <w:rFonts w:ascii="Arial" w:hAnsi="Arial" w:cs="Arial"/>
        </w:rPr>
        <w:t xml:space="preserve">Tel: </w:t>
      </w:r>
      <w:r>
        <w:rPr>
          <w:rFonts w:ascii="Arial" w:eastAsia="Times New Roman" w:hAnsi="Arial" w:cs="Arial"/>
          <w:lang w:eastAsia="en-GB"/>
        </w:rPr>
        <w:t>0115 943 5417</w:t>
      </w:r>
    </w:p>
    <w:p w14:paraId="7CF61572" w14:textId="77777777" w:rsidR="0078258F" w:rsidRDefault="0078258F" w:rsidP="0078258F">
      <w:pPr>
        <w:spacing w:after="0"/>
        <w:rPr>
          <w:rFonts w:ascii="Arial" w:hAnsi="Arial" w:cs="Arial"/>
        </w:rPr>
      </w:pPr>
    </w:p>
    <w:p w14:paraId="07A1AB3B" w14:textId="77777777" w:rsidR="0078258F" w:rsidRPr="00567055" w:rsidRDefault="0078258F" w:rsidP="0078258F">
      <w:r>
        <w:rPr>
          <w:rFonts w:ascii="Arial" w:hAnsi="Arial" w:cs="Arial"/>
          <w:b/>
          <w:bCs/>
        </w:rPr>
        <w:t xml:space="preserve">e-mail: </w:t>
      </w:r>
      <w:hyperlink r:id="rId10" w:history="1">
        <w:r>
          <w:rPr>
            <w:rStyle w:val="Hyperlink"/>
            <w:rFonts w:ascii="Arial" w:hAnsi="Arial" w:cs="Arial"/>
          </w:rPr>
          <w:t>alice.taylor@apil.org.uk</w:t>
        </w:r>
      </w:hyperlink>
    </w:p>
    <w:p w14:paraId="5EA34646" w14:textId="77777777" w:rsidR="00F0426F" w:rsidRPr="003E6B73" w:rsidRDefault="00F0426F">
      <w:pPr>
        <w:rPr>
          <w:rFonts w:ascii="Arial" w:hAnsi="Arial" w:cs="Arial"/>
          <w:lang w:val="en-US"/>
        </w:rPr>
      </w:pPr>
    </w:p>
    <w:sectPr w:rsidR="00F0426F" w:rsidRPr="003E6B7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7E01" w14:textId="77777777" w:rsidR="003A05AF" w:rsidRDefault="003A05AF" w:rsidP="00481C97">
      <w:pPr>
        <w:spacing w:after="0" w:line="240" w:lineRule="auto"/>
      </w:pPr>
      <w:r>
        <w:separator/>
      </w:r>
    </w:p>
  </w:endnote>
  <w:endnote w:type="continuationSeparator" w:id="0">
    <w:p w14:paraId="06C13F1D" w14:textId="77777777" w:rsidR="003A05AF" w:rsidRDefault="003A05AF" w:rsidP="0048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672753"/>
      <w:docPartObj>
        <w:docPartGallery w:val="Page Numbers (Bottom of Page)"/>
        <w:docPartUnique/>
      </w:docPartObj>
    </w:sdtPr>
    <w:sdtEndPr>
      <w:rPr>
        <w:noProof/>
      </w:rPr>
    </w:sdtEndPr>
    <w:sdtContent>
      <w:p w14:paraId="01117DD4" w14:textId="18F89AFB" w:rsidR="003E24A0" w:rsidRDefault="003E24A0">
        <w:pPr>
          <w:pStyle w:val="Footer"/>
        </w:pPr>
        <w:r>
          <w:fldChar w:fldCharType="begin"/>
        </w:r>
        <w:r>
          <w:instrText xml:space="preserve"> PAGE   \* MERGEFORMAT </w:instrText>
        </w:r>
        <w:r>
          <w:fldChar w:fldCharType="separate"/>
        </w:r>
        <w:r>
          <w:rPr>
            <w:noProof/>
          </w:rPr>
          <w:t>2</w:t>
        </w:r>
        <w:r>
          <w:rPr>
            <w:noProof/>
          </w:rPr>
          <w:fldChar w:fldCharType="end"/>
        </w:r>
      </w:p>
    </w:sdtContent>
  </w:sdt>
  <w:p w14:paraId="2DF957FA" w14:textId="77777777" w:rsidR="003E24A0" w:rsidRDefault="003E2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3760" w14:textId="77777777" w:rsidR="003A05AF" w:rsidRDefault="003A05AF" w:rsidP="00481C97">
      <w:pPr>
        <w:spacing w:after="0" w:line="240" w:lineRule="auto"/>
      </w:pPr>
      <w:r>
        <w:separator/>
      </w:r>
    </w:p>
  </w:footnote>
  <w:footnote w:type="continuationSeparator" w:id="0">
    <w:p w14:paraId="3C06C0EA" w14:textId="77777777" w:rsidR="003A05AF" w:rsidRDefault="003A05AF" w:rsidP="00481C97">
      <w:pPr>
        <w:spacing w:after="0" w:line="240" w:lineRule="auto"/>
      </w:pPr>
      <w:r>
        <w:continuationSeparator/>
      </w:r>
    </w:p>
  </w:footnote>
  <w:footnote w:id="1">
    <w:p w14:paraId="15A5AA40" w14:textId="36B43650" w:rsidR="00DA3ACC" w:rsidRPr="00DA3ACC" w:rsidRDefault="00DA3ACC">
      <w:pPr>
        <w:pStyle w:val="FootnoteText"/>
        <w:rPr>
          <w:lang w:val="en-US"/>
        </w:rPr>
      </w:pPr>
      <w:r>
        <w:rPr>
          <w:rStyle w:val="FootnoteReference"/>
        </w:rPr>
        <w:footnoteRef/>
      </w:r>
      <w:r>
        <w:t xml:space="preserve"> </w:t>
      </w:r>
      <w:hyperlink r:id="rId1" w:anchor="Table2" w:history="1">
        <w:r w:rsidRPr="00D427F3">
          <w:rPr>
            <w:rStyle w:val="Hyperlink"/>
          </w:rPr>
          <w:t>https://resources.hse.gov.uk/convictions/documents/crowncensures.htm#Table2</w:t>
        </w:r>
      </w:hyperlink>
      <w:r>
        <w:t xml:space="preserve"> </w:t>
      </w:r>
    </w:p>
  </w:footnote>
  <w:footnote w:id="2">
    <w:p w14:paraId="6CB5F485" w14:textId="0847AF0F" w:rsidR="00481C97" w:rsidRDefault="00481C97">
      <w:pPr>
        <w:pStyle w:val="FootnoteText"/>
      </w:pPr>
      <w:r>
        <w:rPr>
          <w:rStyle w:val="FootnoteReference"/>
        </w:rPr>
        <w:footnoteRef/>
      </w:r>
      <w:r>
        <w:t xml:space="preserve"> </w:t>
      </w:r>
      <w:hyperlink r:id="rId2" w:anchor=":~:text=The%20total%20number%20of%20new%20claims%20brought%20against%20MOD%20was%203%2C431.&amp;text=206%20Civilian%20Employer's%20Liability%20claims,were%20third%20party%20motor%20claims" w:history="1">
        <w:r w:rsidR="00036E3E" w:rsidRPr="00D427F3">
          <w:rPr>
            <w:rStyle w:val="Hyperlink"/>
          </w:rPr>
          <w:t>https://www.gov.uk/government/statistics/mod-common-law-compensation-claims-statistics-202021/mod-common-law-compensation-claims-statistics-202021#:~:text=The%20total%20number%20of%20new%20claims%20brought%20against%20MOD%20was%203%2C431.&amp;text=206%20Civilian%20Employer's%20Liability%20claims,were%20third%20party%20motor%20claims</w:t>
        </w:r>
      </w:hyperlink>
      <w:r w:rsidRPr="00481C97">
        <w:t>.</w:t>
      </w:r>
      <w:r w:rsidR="00036E3E">
        <w:t xml:space="preserve"> </w:t>
      </w:r>
    </w:p>
  </w:footnote>
  <w:footnote w:id="3">
    <w:p w14:paraId="15483531" w14:textId="51014200" w:rsidR="00933917" w:rsidRPr="00C071A3" w:rsidRDefault="00933917">
      <w:pPr>
        <w:pStyle w:val="FootnoteText"/>
        <w:rPr>
          <w:rFonts w:ascii="Arial" w:hAnsi="Arial" w:cs="Arial"/>
          <w:sz w:val="22"/>
          <w:szCs w:val="22"/>
          <w:lang w:val="en-US"/>
        </w:rPr>
      </w:pPr>
      <w:r w:rsidRPr="00C071A3">
        <w:rPr>
          <w:rStyle w:val="FootnoteReference"/>
          <w:rFonts w:ascii="Arial" w:hAnsi="Arial" w:cs="Arial"/>
          <w:sz w:val="22"/>
          <w:szCs w:val="22"/>
        </w:rPr>
        <w:footnoteRef/>
      </w:r>
      <w:r w:rsidRPr="00C071A3">
        <w:rPr>
          <w:rFonts w:ascii="Arial" w:hAnsi="Arial" w:cs="Arial"/>
          <w:sz w:val="22"/>
          <w:szCs w:val="22"/>
        </w:rPr>
        <w:t xml:space="preserve"> </w:t>
      </w:r>
      <w:r w:rsidRPr="00C071A3">
        <w:rPr>
          <w:rFonts w:ascii="Arial" w:hAnsi="Arial" w:cs="Arial"/>
          <w:color w:val="000000"/>
          <w:sz w:val="22"/>
          <w:szCs w:val="22"/>
        </w:rPr>
        <w:t>[2013] UKSC 41</w:t>
      </w:r>
    </w:p>
  </w:footnote>
  <w:footnote w:id="4">
    <w:p w14:paraId="53BB26D6" w14:textId="45EBE36D" w:rsidR="00933917" w:rsidRPr="00C071A3" w:rsidRDefault="00933917">
      <w:pPr>
        <w:pStyle w:val="FootnoteText"/>
        <w:rPr>
          <w:lang w:val="en-US"/>
        </w:rPr>
      </w:pPr>
    </w:p>
  </w:footnote>
  <w:footnote w:id="5">
    <w:p w14:paraId="5F4538A7" w14:textId="5F70358F" w:rsidR="00D00C0C" w:rsidRPr="007F5A04" w:rsidRDefault="00D00C0C">
      <w:pPr>
        <w:pStyle w:val="FootnoteText"/>
        <w:rPr>
          <w:rFonts w:ascii="Arial" w:hAnsi="Arial" w:cs="Arial"/>
          <w:sz w:val="22"/>
          <w:szCs w:val="22"/>
          <w:lang w:val="en-US"/>
        </w:rPr>
      </w:pPr>
      <w:r>
        <w:rPr>
          <w:rStyle w:val="FootnoteReference"/>
        </w:rPr>
        <w:footnoteRef/>
      </w:r>
      <w:r>
        <w:t xml:space="preserve"> </w:t>
      </w:r>
      <w:r w:rsidRPr="007F5A04">
        <w:rPr>
          <w:rFonts w:ascii="Arial" w:hAnsi="Arial" w:cs="Arial"/>
          <w:color w:val="000000"/>
          <w:sz w:val="22"/>
          <w:szCs w:val="22"/>
          <w:shd w:val="clear" w:color="auto" w:fill="FFFFFF"/>
        </w:rPr>
        <w:t>[2019] UKSC 25 </w:t>
      </w:r>
    </w:p>
  </w:footnote>
  <w:footnote w:id="6">
    <w:p w14:paraId="7B7CA9B7" w14:textId="43ED7DB3" w:rsidR="00454259" w:rsidRPr="007F5A04" w:rsidRDefault="00454259">
      <w:pPr>
        <w:pStyle w:val="FootnoteText"/>
        <w:rPr>
          <w:lang w:val="en-US"/>
        </w:rPr>
      </w:pPr>
      <w:r w:rsidRPr="007F5A04">
        <w:rPr>
          <w:rStyle w:val="FootnoteReference"/>
          <w:rFonts w:ascii="Arial" w:hAnsi="Arial" w:cs="Arial"/>
          <w:sz w:val="22"/>
          <w:szCs w:val="22"/>
        </w:rPr>
        <w:footnoteRef/>
      </w:r>
      <w:r w:rsidRPr="007F5A04">
        <w:rPr>
          <w:rFonts w:ascii="Arial" w:hAnsi="Arial" w:cs="Arial"/>
          <w:sz w:val="22"/>
          <w:szCs w:val="22"/>
        </w:rPr>
        <w:t xml:space="preserve"> </w:t>
      </w:r>
      <w:r w:rsidRPr="007F5A04">
        <w:rPr>
          <w:rFonts w:ascii="Arial" w:hAnsi="Arial" w:cs="Arial"/>
          <w:color w:val="000000"/>
          <w:sz w:val="22"/>
          <w:szCs w:val="22"/>
        </w:rPr>
        <w:t>[2021] EWHC 2974 (QB)</w:t>
      </w:r>
    </w:p>
  </w:footnote>
  <w:footnote w:id="7">
    <w:p w14:paraId="4E644F51" w14:textId="5293D3D8" w:rsidR="00454259" w:rsidRPr="007F5A04" w:rsidRDefault="00454259">
      <w:pPr>
        <w:pStyle w:val="FootnoteText"/>
        <w:rPr>
          <w:rFonts w:ascii="Arial" w:hAnsi="Arial" w:cs="Arial"/>
          <w:sz w:val="22"/>
          <w:szCs w:val="22"/>
          <w:lang w:val="en-US"/>
        </w:rPr>
      </w:pPr>
      <w:r>
        <w:rPr>
          <w:rStyle w:val="FootnoteReference"/>
        </w:rPr>
        <w:footnoteRef/>
      </w:r>
      <w:r>
        <w:t xml:space="preserve"> </w:t>
      </w:r>
      <w:r w:rsidRPr="007F5A04">
        <w:rPr>
          <w:rFonts w:ascii="Arial" w:hAnsi="Arial" w:cs="Arial"/>
          <w:color w:val="000000"/>
          <w:sz w:val="22"/>
          <w:szCs w:val="22"/>
        </w:rPr>
        <w:t>[2021] EWHC 2974 (QB)</w:t>
      </w:r>
    </w:p>
  </w:footnote>
  <w:footnote w:id="8">
    <w:p w14:paraId="1C5504A8" w14:textId="6D3AF786" w:rsidR="003E24A0" w:rsidRPr="009A140C" w:rsidRDefault="003E24A0">
      <w:pPr>
        <w:pStyle w:val="FootnoteText"/>
        <w:rPr>
          <w:lang w:val="en-US"/>
        </w:rPr>
      </w:pPr>
      <w:r w:rsidRPr="007F5A04">
        <w:rPr>
          <w:rStyle w:val="FootnoteReference"/>
          <w:rFonts w:ascii="Arial" w:hAnsi="Arial" w:cs="Arial"/>
          <w:sz w:val="22"/>
          <w:szCs w:val="22"/>
        </w:rPr>
        <w:footnoteRef/>
      </w:r>
      <w:r w:rsidRPr="007F5A04">
        <w:rPr>
          <w:rFonts w:ascii="Arial" w:hAnsi="Arial" w:cs="Arial"/>
          <w:sz w:val="22"/>
          <w:szCs w:val="22"/>
        </w:rPr>
        <w:t xml:space="preserve"> </w:t>
      </w:r>
      <w:r w:rsidRPr="007F5A04">
        <w:rPr>
          <w:rFonts w:ascii="Arial" w:hAnsi="Arial" w:cs="Arial"/>
          <w:color w:val="000000"/>
          <w:sz w:val="22"/>
          <w:szCs w:val="22"/>
        </w:rPr>
        <w:t xml:space="preserve"> [2015] EWCA </w:t>
      </w:r>
      <w:proofErr w:type="spellStart"/>
      <w:r w:rsidRPr="007F5A04">
        <w:rPr>
          <w:rFonts w:ascii="Arial" w:hAnsi="Arial" w:cs="Arial"/>
          <w:color w:val="000000"/>
          <w:sz w:val="22"/>
          <w:szCs w:val="22"/>
        </w:rPr>
        <w:t>Civ</w:t>
      </w:r>
      <w:proofErr w:type="spellEnd"/>
      <w:r w:rsidRPr="007F5A04">
        <w:rPr>
          <w:rFonts w:ascii="Arial" w:hAnsi="Arial" w:cs="Arial"/>
          <w:color w:val="000000"/>
          <w:sz w:val="22"/>
          <w:szCs w:val="22"/>
        </w:rPr>
        <w:t xml:space="preserve"> 646</w:t>
      </w:r>
    </w:p>
  </w:footnote>
  <w:footnote w:id="9">
    <w:p w14:paraId="7080F33F" w14:textId="0FE0C13A" w:rsidR="00900AB7" w:rsidRPr="007F5A04" w:rsidRDefault="00900AB7">
      <w:pPr>
        <w:pStyle w:val="FootnoteText"/>
        <w:rPr>
          <w:rFonts w:ascii="Arial" w:hAnsi="Arial" w:cs="Arial"/>
          <w:sz w:val="22"/>
          <w:szCs w:val="22"/>
          <w:lang w:val="en-US"/>
        </w:rPr>
      </w:pPr>
      <w:r w:rsidRPr="007F5A04">
        <w:rPr>
          <w:rStyle w:val="FootnoteReference"/>
          <w:rFonts w:ascii="Arial" w:hAnsi="Arial" w:cs="Arial"/>
          <w:sz w:val="22"/>
          <w:szCs w:val="22"/>
        </w:rPr>
        <w:footnoteRef/>
      </w:r>
      <w:r w:rsidRPr="007F5A04">
        <w:rPr>
          <w:rFonts w:ascii="Arial" w:hAnsi="Arial" w:cs="Arial"/>
          <w:sz w:val="22"/>
          <w:szCs w:val="22"/>
        </w:rPr>
        <w:t xml:space="preserve"> </w:t>
      </w:r>
      <w:r w:rsidRPr="007F5A04">
        <w:rPr>
          <w:rFonts w:ascii="Arial" w:hAnsi="Arial" w:cs="Arial"/>
          <w:color w:val="333333"/>
          <w:sz w:val="22"/>
          <w:szCs w:val="22"/>
          <w:shd w:val="clear" w:color="auto" w:fill="EFEBE7"/>
        </w:rPr>
        <w:t>[2012] UKSC 2</w:t>
      </w:r>
    </w:p>
  </w:footnote>
  <w:footnote w:id="10">
    <w:p w14:paraId="00A8B901" w14:textId="0FFD3E2D" w:rsidR="00900AB7" w:rsidRPr="007F5A04" w:rsidRDefault="00900AB7">
      <w:pPr>
        <w:pStyle w:val="FootnoteText"/>
        <w:rPr>
          <w:rFonts w:ascii="Arial" w:hAnsi="Arial" w:cs="Arial"/>
          <w:sz w:val="22"/>
          <w:szCs w:val="22"/>
          <w:lang w:val="en-US"/>
        </w:rPr>
      </w:pPr>
      <w:r w:rsidRPr="007F5A04">
        <w:rPr>
          <w:rStyle w:val="FootnoteReference"/>
          <w:rFonts w:ascii="Arial" w:hAnsi="Arial" w:cs="Arial"/>
          <w:sz w:val="22"/>
          <w:szCs w:val="22"/>
        </w:rPr>
        <w:footnoteRef/>
      </w:r>
      <w:r w:rsidRPr="007F5A04">
        <w:rPr>
          <w:rFonts w:ascii="Arial" w:hAnsi="Arial" w:cs="Arial"/>
          <w:sz w:val="22"/>
          <w:szCs w:val="22"/>
        </w:rPr>
        <w:t xml:space="preserve"> </w:t>
      </w:r>
      <w:r w:rsidRPr="007F5A04">
        <w:rPr>
          <w:rFonts w:ascii="Arial" w:hAnsi="Arial" w:cs="Arial"/>
          <w:color w:val="000000"/>
          <w:sz w:val="22"/>
          <w:szCs w:val="22"/>
        </w:rPr>
        <w:t>2017] ECHR 1174</w:t>
      </w:r>
    </w:p>
  </w:footnote>
  <w:footnote w:id="11">
    <w:p w14:paraId="716278EA" w14:textId="4DF2B2AF" w:rsidR="00900AB7" w:rsidRPr="007F5A04" w:rsidRDefault="00900AB7">
      <w:pPr>
        <w:pStyle w:val="FootnoteText"/>
        <w:rPr>
          <w:lang w:val="en-US"/>
        </w:rPr>
      </w:pPr>
      <w:r w:rsidRPr="007F5A04">
        <w:rPr>
          <w:rStyle w:val="FootnoteReference"/>
          <w:rFonts w:ascii="Arial" w:hAnsi="Arial" w:cs="Arial"/>
          <w:sz w:val="22"/>
          <w:szCs w:val="22"/>
        </w:rPr>
        <w:footnoteRef/>
      </w:r>
      <w:r w:rsidRPr="007F5A04">
        <w:rPr>
          <w:rFonts w:ascii="Arial" w:hAnsi="Arial" w:cs="Arial"/>
          <w:sz w:val="22"/>
          <w:szCs w:val="22"/>
        </w:rPr>
        <w:t xml:space="preserve"> </w:t>
      </w:r>
      <w:r w:rsidRPr="007F5A04">
        <w:rPr>
          <w:rFonts w:ascii="Arial" w:hAnsi="Arial" w:cs="Arial"/>
          <w:color w:val="000000"/>
          <w:sz w:val="22"/>
          <w:szCs w:val="22"/>
        </w:rPr>
        <w:t> [2018] EWHC 1501 (Admin)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A050B"/>
    <w:multiLevelType w:val="multilevel"/>
    <w:tmpl w:val="5D44603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DC35C9"/>
    <w:multiLevelType w:val="hybridMultilevel"/>
    <w:tmpl w:val="5770ED96"/>
    <w:lvl w:ilvl="0" w:tplc="08090001">
      <w:start w:val="1"/>
      <w:numFmt w:val="bullet"/>
      <w:lvlText w:val=""/>
      <w:lvlJc w:val="left"/>
      <w:pPr>
        <w:ind w:left="1399" w:hanging="360"/>
      </w:pPr>
      <w:rPr>
        <w:rFonts w:ascii="Symbol" w:hAnsi="Symbol" w:hint="default"/>
      </w:rPr>
    </w:lvl>
    <w:lvl w:ilvl="1" w:tplc="08090003">
      <w:start w:val="1"/>
      <w:numFmt w:val="bullet"/>
      <w:lvlText w:val="o"/>
      <w:lvlJc w:val="left"/>
      <w:pPr>
        <w:ind w:left="2119" w:hanging="360"/>
      </w:pPr>
      <w:rPr>
        <w:rFonts w:ascii="Courier New" w:hAnsi="Courier New" w:cs="Courier New" w:hint="default"/>
      </w:rPr>
    </w:lvl>
    <w:lvl w:ilvl="2" w:tplc="08090005">
      <w:start w:val="1"/>
      <w:numFmt w:val="bullet"/>
      <w:lvlText w:val=""/>
      <w:lvlJc w:val="left"/>
      <w:pPr>
        <w:ind w:left="2839" w:hanging="360"/>
      </w:pPr>
      <w:rPr>
        <w:rFonts w:ascii="Wingdings" w:hAnsi="Wingdings" w:hint="default"/>
      </w:rPr>
    </w:lvl>
    <w:lvl w:ilvl="3" w:tplc="08090001">
      <w:start w:val="1"/>
      <w:numFmt w:val="bullet"/>
      <w:lvlText w:val=""/>
      <w:lvlJc w:val="left"/>
      <w:pPr>
        <w:ind w:left="3559" w:hanging="360"/>
      </w:pPr>
      <w:rPr>
        <w:rFonts w:ascii="Symbol" w:hAnsi="Symbol" w:hint="default"/>
      </w:rPr>
    </w:lvl>
    <w:lvl w:ilvl="4" w:tplc="08090003">
      <w:start w:val="1"/>
      <w:numFmt w:val="bullet"/>
      <w:lvlText w:val="o"/>
      <w:lvlJc w:val="left"/>
      <w:pPr>
        <w:ind w:left="4279" w:hanging="360"/>
      </w:pPr>
      <w:rPr>
        <w:rFonts w:ascii="Courier New" w:hAnsi="Courier New" w:cs="Courier New" w:hint="default"/>
      </w:rPr>
    </w:lvl>
    <w:lvl w:ilvl="5" w:tplc="08090005">
      <w:start w:val="1"/>
      <w:numFmt w:val="bullet"/>
      <w:lvlText w:val=""/>
      <w:lvlJc w:val="left"/>
      <w:pPr>
        <w:ind w:left="4999" w:hanging="360"/>
      </w:pPr>
      <w:rPr>
        <w:rFonts w:ascii="Wingdings" w:hAnsi="Wingdings" w:hint="default"/>
      </w:rPr>
    </w:lvl>
    <w:lvl w:ilvl="6" w:tplc="08090001">
      <w:start w:val="1"/>
      <w:numFmt w:val="bullet"/>
      <w:lvlText w:val=""/>
      <w:lvlJc w:val="left"/>
      <w:pPr>
        <w:ind w:left="5719" w:hanging="360"/>
      </w:pPr>
      <w:rPr>
        <w:rFonts w:ascii="Symbol" w:hAnsi="Symbol" w:hint="default"/>
      </w:rPr>
    </w:lvl>
    <w:lvl w:ilvl="7" w:tplc="08090003">
      <w:start w:val="1"/>
      <w:numFmt w:val="bullet"/>
      <w:lvlText w:val="o"/>
      <w:lvlJc w:val="left"/>
      <w:pPr>
        <w:ind w:left="6439" w:hanging="360"/>
      </w:pPr>
      <w:rPr>
        <w:rFonts w:ascii="Courier New" w:hAnsi="Courier New" w:cs="Courier New" w:hint="default"/>
      </w:rPr>
    </w:lvl>
    <w:lvl w:ilvl="8" w:tplc="08090005">
      <w:start w:val="1"/>
      <w:numFmt w:val="bullet"/>
      <w:lvlText w:val=""/>
      <w:lvlJc w:val="left"/>
      <w:pPr>
        <w:ind w:left="7159" w:hanging="360"/>
      </w:pPr>
      <w:rPr>
        <w:rFonts w:ascii="Wingdings" w:hAnsi="Wingdings" w:hint="default"/>
      </w:rPr>
    </w:lvl>
  </w:abstractNum>
  <w:abstractNum w:abstractNumId="2" w15:restartNumberingAfterBreak="0">
    <w:nsid w:val="56FF40ED"/>
    <w:multiLevelType w:val="multilevel"/>
    <w:tmpl w:val="FE8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B003F"/>
    <w:multiLevelType w:val="multilevel"/>
    <w:tmpl w:val="1DA488BE"/>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4" w15:restartNumberingAfterBreak="0">
    <w:nsid w:val="7963142F"/>
    <w:multiLevelType w:val="hybridMultilevel"/>
    <w:tmpl w:val="FF5AE134"/>
    <w:lvl w:ilvl="0" w:tplc="DB92FCAC">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6F"/>
    <w:rsid w:val="00036E3E"/>
    <w:rsid w:val="0004312F"/>
    <w:rsid w:val="000877B1"/>
    <w:rsid w:val="00095ACA"/>
    <w:rsid w:val="000C1B40"/>
    <w:rsid w:val="0015512A"/>
    <w:rsid w:val="00160A0D"/>
    <w:rsid w:val="001713A8"/>
    <w:rsid w:val="00197761"/>
    <w:rsid w:val="001E1F8E"/>
    <w:rsid w:val="001F7236"/>
    <w:rsid w:val="001F7800"/>
    <w:rsid w:val="00204408"/>
    <w:rsid w:val="002140AA"/>
    <w:rsid w:val="00214B5D"/>
    <w:rsid w:val="0022116B"/>
    <w:rsid w:val="00226BF4"/>
    <w:rsid w:val="00263E00"/>
    <w:rsid w:val="0027074F"/>
    <w:rsid w:val="002924C1"/>
    <w:rsid w:val="002B48F6"/>
    <w:rsid w:val="00302E99"/>
    <w:rsid w:val="003206A6"/>
    <w:rsid w:val="00336448"/>
    <w:rsid w:val="00346E74"/>
    <w:rsid w:val="003A05AF"/>
    <w:rsid w:val="003B0FA3"/>
    <w:rsid w:val="003B2BFE"/>
    <w:rsid w:val="003D4E19"/>
    <w:rsid w:val="003D744E"/>
    <w:rsid w:val="003E24A0"/>
    <w:rsid w:val="003E6B73"/>
    <w:rsid w:val="003F3510"/>
    <w:rsid w:val="004007A2"/>
    <w:rsid w:val="00415790"/>
    <w:rsid w:val="00416740"/>
    <w:rsid w:val="0043641F"/>
    <w:rsid w:val="0044221F"/>
    <w:rsid w:val="00454259"/>
    <w:rsid w:val="004609F0"/>
    <w:rsid w:val="00471FA9"/>
    <w:rsid w:val="00481C97"/>
    <w:rsid w:val="00493482"/>
    <w:rsid w:val="0054014B"/>
    <w:rsid w:val="00540A0A"/>
    <w:rsid w:val="00552B4A"/>
    <w:rsid w:val="00555ABE"/>
    <w:rsid w:val="00590DDE"/>
    <w:rsid w:val="005A22DE"/>
    <w:rsid w:val="005A6E38"/>
    <w:rsid w:val="005C4086"/>
    <w:rsid w:val="006003B6"/>
    <w:rsid w:val="006246F4"/>
    <w:rsid w:val="00632163"/>
    <w:rsid w:val="0063374C"/>
    <w:rsid w:val="006669DA"/>
    <w:rsid w:val="006846B0"/>
    <w:rsid w:val="0068586C"/>
    <w:rsid w:val="006F33E4"/>
    <w:rsid w:val="00710052"/>
    <w:rsid w:val="007140D3"/>
    <w:rsid w:val="007657D8"/>
    <w:rsid w:val="00772C1A"/>
    <w:rsid w:val="0078258F"/>
    <w:rsid w:val="007B5DCD"/>
    <w:rsid w:val="007E43ED"/>
    <w:rsid w:val="007F5A04"/>
    <w:rsid w:val="0081012F"/>
    <w:rsid w:val="00836673"/>
    <w:rsid w:val="00850D65"/>
    <w:rsid w:val="00882FD5"/>
    <w:rsid w:val="008B6BF5"/>
    <w:rsid w:val="008D37BD"/>
    <w:rsid w:val="00900AB7"/>
    <w:rsid w:val="00906EF1"/>
    <w:rsid w:val="009326B0"/>
    <w:rsid w:val="00933917"/>
    <w:rsid w:val="00943042"/>
    <w:rsid w:val="00946EF4"/>
    <w:rsid w:val="00947636"/>
    <w:rsid w:val="00980D06"/>
    <w:rsid w:val="00997358"/>
    <w:rsid w:val="009A140C"/>
    <w:rsid w:val="009B2381"/>
    <w:rsid w:val="009C417A"/>
    <w:rsid w:val="009F0980"/>
    <w:rsid w:val="00A03726"/>
    <w:rsid w:val="00A037B1"/>
    <w:rsid w:val="00A32BBE"/>
    <w:rsid w:val="00A33AB0"/>
    <w:rsid w:val="00A44511"/>
    <w:rsid w:val="00A47EB9"/>
    <w:rsid w:val="00A50430"/>
    <w:rsid w:val="00A56B99"/>
    <w:rsid w:val="00A63B6E"/>
    <w:rsid w:val="00A67710"/>
    <w:rsid w:val="00A73A6F"/>
    <w:rsid w:val="00A76773"/>
    <w:rsid w:val="00A87FC5"/>
    <w:rsid w:val="00A97202"/>
    <w:rsid w:val="00AA71A2"/>
    <w:rsid w:val="00AC1494"/>
    <w:rsid w:val="00AD25AE"/>
    <w:rsid w:val="00B46F1D"/>
    <w:rsid w:val="00B54251"/>
    <w:rsid w:val="00B606D6"/>
    <w:rsid w:val="00B81EF8"/>
    <w:rsid w:val="00BA6099"/>
    <w:rsid w:val="00BA6533"/>
    <w:rsid w:val="00BB4729"/>
    <w:rsid w:val="00C071A3"/>
    <w:rsid w:val="00C1231D"/>
    <w:rsid w:val="00C15CF0"/>
    <w:rsid w:val="00C60730"/>
    <w:rsid w:val="00C804AF"/>
    <w:rsid w:val="00C93CB6"/>
    <w:rsid w:val="00CA42BE"/>
    <w:rsid w:val="00D00C0C"/>
    <w:rsid w:val="00D14E3F"/>
    <w:rsid w:val="00D31399"/>
    <w:rsid w:val="00D62F2D"/>
    <w:rsid w:val="00D81824"/>
    <w:rsid w:val="00D97D65"/>
    <w:rsid w:val="00DA3ACC"/>
    <w:rsid w:val="00DA464E"/>
    <w:rsid w:val="00DE623A"/>
    <w:rsid w:val="00DF0F31"/>
    <w:rsid w:val="00E30EEB"/>
    <w:rsid w:val="00E37F44"/>
    <w:rsid w:val="00E937D2"/>
    <w:rsid w:val="00E94CC2"/>
    <w:rsid w:val="00EB13DB"/>
    <w:rsid w:val="00EC688B"/>
    <w:rsid w:val="00EE2AEF"/>
    <w:rsid w:val="00EF2B55"/>
    <w:rsid w:val="00F0426F"/>
    <w:rsid w:val="00F04D3E"/>
    <w:rsid w:val="00F206EE"/>
    <w:rsid w:val="00FB4926"/>
    <w:rsid w:val="00FF2B1F"/>
    <w:rsid w:val="00FF2C1E"/>
    <w:rsid w:val="00FF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003C"/>
  <w15:chartTrackingRefBased/>
  <w15:docId w15:val="{A8697FA5-D239-466F-89DF-89080F59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29"/>
    <w:pPr>
      <w:spacing w:line="256" w:lineRule="auto"/>
      <w:ind w:left="720"/>
      <w:contextualSpacing/>
    </w:pPr>
  </w:style>
  <w:style w:type="character" w:styleId="CommentReference">
    <w:name w:val="annotation reference"/>
    <w:basedOn w:val="DefaultParagraphFont"/>
    <w:uiPriority w:val="99"/>
    <w:semiHidden/>
    <w:unhideWhenUsed/>
    <w:rsid w:val="00C1231D"/>
    <w:rPr>
      <w:sz w:val="16"/>
      <w:szCs w:val="16"/>
    </w:rPr>
  </w:style>
  <w:style w:type="paragraph" w:styleId="CommentText">
    <w:name w:val="annotation text"/>
    <w:basedOn w:val="Normal"/>
    <w:link w:val="CommentTextChar"/>
    <w:uiPriority w:val="99"/>
    <w:semiHidden/>
    <w:unhideWhenUsed/>
    <w:rsid w:val="00C1231D"/>
    <w:pPr>
      <w:spacing w:line="240" w:lineRule="auto"/>
    </w:pPr>
    <w:rPr>
      <w:sz w:val="20"/>
      <w:szCs w:val="20"/>
    </w:rPr>
  </w:style>
  <w:style w:type="character" w:customStyle="1" w:styleId="CommentTextChar">
    <w:name w:val="Comment Text Char"/>
    <w:basedOn w:val="DefaultParagraphFont"/>
    <w:link w:val="CommentText"/>
    <w:uiPriority w:val="99"/>
    <w:semiHidden/>
    <w:rsid w:val="00C1231D"/>
    <w:rPr>
      <w:sz w:val="20"/>
      <w:szCs w:val="20"/>
    </w:rPr>
  </w:style>
  <w:style w:type="paragraph" w:styleId="CommentSubject">
    <w:name w:val="annotation subject"/>
    <w:basedOn w:val="CommentText"/>
    <w:next w:val="CommentText"/>
    <w:link w:val="CommentSubjectChar"/>
    <w:uiPriority w:val="99"/>
    <w:semiHidden/>
    <w:unhideWhenUsed/>
    <w:rsid w:val="00C1231D"/>
    <w:rPr>
      <w:b/>
      <w:bCs/>
    </w:rPr>
  </w:style>
  <w:style w:type="character" w:customStyle="1" w:styleId="CommentSubjectChar">
    <w:name w:val="Comment Subject Char"/>
    <w:basedOn w:val="CommentTextChar"/>
    <w:link w:val="CommentSubject"/>
    <w:uiPriority w:val="99"/>
    <w:semiHidden/>
    <w:rsid w:val="00C1231D"/>
    <w:rPr>
      <w:b/>
      <w:bCs/>
      <w:sz w:val="20"/>
      <w:szCs w:val="20"/>
    </w:rPr>
  </w:style>
  <w:style w:type="character" w:styleId="Hyperlink">
    <w:name w:val="Hyperlink"/>
    <w:basedOn w:val="DefaultParagraphFont"/>
    <w:uiPriority w:val="99"/>
    <w:unhideWhenUsed/>
    <w:rsid w:val="0054014B"/>
    <w:rPr>
      <w:color w:val="0000FF"/>
      <w:u w:val="single"/>
    </w:rPr>
  </w:style>
  <w:style w:type="paragraph" w:styleId="BalloonText">
    <w:name w:val="Balloon Text"/>
    <w:basedOn w:val="Normal"/>
    <w:link w:val="BalloonTextChar"/>
    <w:uiPriority w:val="99"/>
    <w:semiHidden/>
    <w:unhideWhenUsed/>
    <w:rsid w:val="00FB4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926"/>
    <w:rPr>
      <w:rFonts w:ascii="Segoe UI" w:hAnsi="Segoe UI" w:cs="Segoe UI"/>
      <w:sz w:val="18"/>
      <w:szCs w:val="18"/>
    </w:rPr>
  </w:style>
  <w:style w:type="paragraph" w:styleId="FootnoteText">
    <w:name w:val="footnote text"/>
    <w:basedOn w:val="Normal"/>
    <w:link w:val="FootnoteTextChar"/>
    <w:uiPriority w:val="99"/>
    <w:semiHidden/>
    <w:unhideWhenUsed/>
    <w:rsid w:val="00481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C97"/>
    <w:rPr>
      <w:sz w:val="20"/>
      <w:szCs w:val="20"/>
    </w:rPr>
  </w:style>
  <w:style w:type="character" w:styleId="FootnoteReference">
    <w:name w:val="footnote reference"/>
    <w:basedOn w:val="DefaultParagraphFont"/>
    <w:uiPriority w:val="99"/>
    <w:semiHidden/>
    <w:unhideWhenUsed/>
    <w:rsid w:val="00481C97"/>
    <w:rPr>
      <w:vertAlign w:val="superscript"/>
    </w:rPr>
  </w:style>
  <w:style w:type="paragraph" w:styleId="NormalWeb">
    <w:name w:val="Normal (Web)"/>
    <w:basedOn w:val="Normal"/>
    <w:uiPriority w:val="99"/>
    <w:semiHidden/>
    <w:unhideWhenUsed/>
    <w:rsid w:val="005C40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94CC2"/>
    <w:pPr>
      <w:spacing w:after="0" w:line="240" w:lineRule="auto"/>
    </w:pPr>
  </w:style>
  <w:style w:type="character" w:styleId="Emphasis">
    <w:name w:val="Emphasis"/>
    <w:basedOn w:val="DefaultParagraphFont"/>
    <w:uiPriority w:val="20"/>
    <w:qFormat/>
    <w:rsid w:val="007E43ED"/>
    <w:rPr>
      <w:i/>
      <w:iCs/>
    </w:rPr>
  </w:style>
  <w:style w:type="paragraph" w:styleId="Header">
    <w:name w:val="header"/>
    <w:basedOn w:val="Normal"/>
    <w:link w:val="HeaderChar"/>
    <w:uiPriority w:val="99"/>
    <w:unhideWhenUsed/>
    <w:rsid w:val="003E2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4A0"/>
  </w:style>
  <w:style w:type="paragraph" w:styleId="Footer">
    <w:name w:val="footer"/>
    <w:basedOn w:val="Normal"/>
    <w:link w:val="FooterChar"/>
    <w:uiPriority w:val="99"/>
    <w:unhideWhenUsed/>
    <w:rsid w:val="003E2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4A0"/>
  </w:style>
  <w:style w:type="character" w:styleId="UnresolvedMention">
    <w:name w:val="Unresolved Mention"/>
    <w:basedOn w:val="DefaultParagraphFont"/>
    <w:uiPriority w:val="99"/>
    <w:semiHidden/>
    <w:unhideWhenUsed/>
    <w:rsid w:val="00D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0826">
      <w:bodyDiv w:val="1"/>
      <w:marLeft w:val="0"/>
      <w:marRight w:val="0"/>
      <w:marTop w:val="0"/>
      <w:marBottom w:val="0"/>
      <w:divBdr>
        <w:top w:val="none" w:sz="0" w:space="0" w:color="auto"/>
        <w:left w:val="none" w:sz="0" w:space="0" w:color="auto"/>
        <w:bottom w:val="none" w:sz="0" w:space="0" w:color="auto"/>
        <w:right w:val="none" w:sz="0" w:space="0" w:color="auto"/>
      </w:divBdr>
    </w:div>
    <w:div w:id="122232457">
      <w:bodyDiv w:val="1"/>
      <w:marLeft w:val="0"/>
      <w:marRight w:val="0"/>
      <w:marTop w:val="0"/>
      <w:marBottom w:val="0"/>
      <w:divBdr>
        <w:top w:val="none" w:sz="0" w:space="0" w:color="auto"/>
        <w:left w:val="none" w:sz="0" w:space="0" w:color="auto"/>
        <w:bottom w:val="none" w:sz="0" w:space="0" w:color="auto"/>
        <w:right w:val="none" w:sz="0" w:space="0" w:color="auto"/>
      </w:divBdr>
    </w:div>
    <w:div w:id="319190261">
      <w:bodyDiv w:val="1"/>
      <w:marLeft w:val="0"/>
      <w:marRight w:val="0"/>
      <w:marTop w:val="0"/>
      <w:marBottom w:val="0"/>
      <w:divBdr>
        <w:top w:val="none" w:sz="0" w:space="0" w:color="auto"/>
        <w:left w:val="none" w:sz="0" w:space="0" w:color="auto"/>
        <w:bottom w:val="none" w:sz="0" w:space="0" w:color="auto"/>
        <w:right w:val="none" w:sz="0" w:space="0" w:color="auto"/>
      </w:divBdr>
    </w:div>
    <w:div w:id="531117335">
      <w:bodyDiv w:val="1"/>
      <w:marLeft w:val="0"/>
      <w:marRight w:val="0"/>
      <w:marTop w:val="0"/>
      <w:marBottom w:val="0"/>
      <w:divBdr>
        <w:top w:val="none" w:sz="0" w:space="0" w:color="auto"/>
        <w:left w:val="none" w:sz="0" w:space="0" w:color="auto"/>
        <w:bottom w:val="none" w:sz="0" w:space="0" w:color="auto"/>
        <w:right w:val="none" w:sz="0" w:space="0" w:color="auto"/>
      </w:divBdr>
    </w:div>
    <w:div w:id="707223670">
      <w:bodyDiv w:val="1"/>
      <w:marLeft w:val="0"/>
      <w:marRight w:val="0"/>
      <w:marTop w:val="0"/>
      <w:marBottom w:val="0"/>
      <w:divBdr>
        <w:top w:val="none" w:sz="0" w:space="0" w:color="auto"/>
        <w:left w:val="none" w:sz="0" w:space="0" w:color="auto"/>
        <w:bottom w:val="none" w:sz="0" w:space="0" w:color="auto"/>
        <w:right w:val="none" w:sz="0" w:space="0" w:color="auto"/>
      </w:divBdr>
    </w:div>
    <w:div w:id="786847722">
      <w:bodyDiv w:val="1"/>
      <w:marLeft w:val="0"/>
      <w:marRight w:val="0"/>
      <w:marTop w:val="0"/>
      <w:marBottom w:val="0"/>
      <w:divBdr>
        <w:top w:val="none" w:sz="0" w:space="0" w:color="auto"/>
        <w:left w:val="none" w:sz="0" w:space="0" w:color="auto"/>
        <w:bottom w:val="none" w:sz="0" w:space="0" w:color="auto"/>
        <w:right w:val="none" w:sz="0" w:space="0" w:color="auto"/>
      </w:divBdr>
    </w:div>
    <w:div w:id="887036365">
      <w:bodyDiv w:val="1"/>
      <w:marLeft w:val="0"/>
      <w:marRight w:val="0"/>
      <w:marTop w:val="0"/>
      <w:marBottom w:val="0"/>
      <w:divBdr>
        <w:top w:val="none" w:sz="0" w:space="0" w:color="auto"/>
        <w:left w:val="none" w:sz="0" w:space="0" w:color="auto"/>
        <w:bottom w:val="none" w:sz="0" w:space="0" w:color="auto"/>
        <w:right w:val="none" w:sz="0" w:space="0" w:color="auto"/>
      </w:divBdr>
    </w:div>
    <w:div w:id="916596078">
      <w:bodyDiv w:val="1"/>
      <w:marLeft w:val="0"/>
      <w:marRight w:val="0"/>
      <w:marTop w:val="0"/>
      <w:marBottom w:val="0"/>
      <w:divBdr>
        <w:top w:val="none" w:sz="0" w:space="0" w:color="auto"/>
        <w:left w:val="none" w:sz="0" w:space="0" w:color="auto"/>
        <w:bottom w:val="none" w:sz="0" w:space="0" w:color="auto"/>
        <w:right w:val="none" w:sz="0" w:space="0" w:color="auto"/>
      </w:divBdr>
    </w:div>
    <w:div w:id="1485127576">
      <w:bodyDiv w:val="1"/>
      <w:marLeft w:val="0"/>
      <w:marRight w:val="0"/>
      <w:marTop w:val="0"/>
      <w:marBottom w:val="0"/>
      <w:divBdr>
        <w:top w:val="none" w:sz="0" w:space="0" w:color="auto"/>
        <w:left w:val="none" w:sz="0" w:space="0" w:color="auto"/>
        <w:bottom w:val="none" w:sz="0" w:space="0" w:color="auto"/>
        <w:right w:val="none" w:sz="0" w:space="0" w:color="auto"/>
      </w:divBdr>
    </w:div>
    <w:div w:id="1486583124">
      <w:bodyDiv w:val="1"/>
      <w:marLeft w:val="0"/>
      <w:marRight w:val="0"/>
      <w:marTop w:val="0"/>
      <w:marBottom w:val="0"/>
      <w:divBdr>
        <w:top w:val="none" w:sz="0" w:space="0" w:color="auto"/>
        <w:left w:val="none" w:sz="0" w:space="0" w:color="auto"/>
        <w:bottom w:val="none" w:sz="0" w:space="0" w:color="auto"/>
        <w:right w:val="none" w:sz="0" w:space="0" w:color="auto"/>
      </w:divBdr>
    </w:div>
    <w:div w:id="1675836424">
      <w:bodyDiv w:val="1"/>
      <w:marLeft w:val="0"/>
      <w:marRight w:val="0"/>
      <w:marTop w:val="0"/>
      <w:marBottom w:val="0"/>
      <w:divBdr>
        <w:top w:val="none" w:sz="0" w:space="0" w:color="auto"/>
        <w:left w:val="none" w:sz="0" w:space="0" w:color="auto"/>
        <w:bottom w:val="none" w:sz="0" w:space="0" w:color="auto"/>
        <w:right w:val="none" w:sz="0" w:space="0" w:color="auto"/>
      </w:divBdr>
    </w:div>
    <w:div w:id="199120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ice.taylor@apil.org.uk" TargetMode="External"/><Relationship Id="rId4" Type="http://schemas.openxmlformats.org/officeDocument/2006/relationships/settings" Target="settings.xml"/><Relationship Id="rId9" Type="http://schemas.openxmlformats.org/officeDocument/2006/relationships/image" Target="media/image10.jp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statistics/mod-common-law-compensation-claims-statistics-202021/mod-common-law-compensation-claims-statistics-202021" TargetMode="External"/><Relationship Id="rId1" Type="http://schemas.openxmlformats.org/officeDocument/2006/relationships/hyperlink" Target="https://resources.hse.gov.uk/convictions/documents/crowncensur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D8AE-6058-4247-BC89-FE24F0ED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5401</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Taylor</dc:creator>
  <cp:keywords/>
  <dc:description/>
  <cp:lastModifiedBy>Alice Taylor</cp:lastModifiedBy>
  <cp:revision>2</cp:revision>
  <dcterms:created xsi:type="dcterms:W3CDTF">2022-03-03T15:47:00Z</dcterms:created>
  <dcterms:modified xsi:type="dcterms:W3CDTF">2022-03-03T15:47:00Z</dcterms:modified>
</cp:coreProperties>
</file>