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69C10" w14:textId="1CFF5E95" w:rsidR="00165A71" w:rsidRPr="00165A71" w:rsidRDefault="00165A71" w:rsidP="00165A71">
      <w:pPr>
        <w:jc w:val="both"/>
        <w:rPr>
          <w:rFonts w:eastAsia="Calibri"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F950074" wp14:editId="3191C453">
            <wp:simplePos x="0" y="0"/>
            <wp:positionH relativeFrom="margin">
              <wp:align>right</wp:align>
            </wp:positionH>
            <wp:positionV relativeFrom="paragraph">
              <wp:posOffset>6284</wp:posOffset>
            </wp:positionV>
            <wp:extent cx="1268095" cy="735330"/>
            <wp:effectExtent l="0" t="0" r="8255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A71">
        <w:rPr>
          <w:rFonts w:eastAsia="Calibri"/>
          <w:bCs/>
        </w:rPr>
        <w:t>Carl Poole</w:t>
      </w:r>
    </w:p>
    <w:p w14:paraId="641DE6DB" w14:textId="0CC92E3C" w:rsidR="00165A71" w:rsidRPr="00165A71" w:rsidRDefault="00165A71" w:rsidP="00165A71">
      <w:pPr>
        <w:jc w:val="both"/>
        <w:rPr>
          <w:rFonts w:eastAsia="Calibri"/>
          <w:bCs/>
        </w:rPr>
      </w:pPr>
      <w:r w:rsidRPr="00165A71">
        <w:rPr>
          <w:rFonts w:eastAsia="Calibri"/>
          <w:bCs/>
        </w:rPr>
        <w:t>Secretary to the Civil Procedure Rule Committee</w:t>
      </w:r>
    </w:p>
    <w:p w14:paraId="6A2E3F9D" w14:textId="77777777" w:rsidR="00165A71" w:rsidRPr="00165A71" w:rsidRDefault="00165A71" w:rsidP="00165A71">
      <w:pPr>
        <w:jc w:val="both"/>
        <w:rPr>
          <w:rFonts w:eastAsia="Calibri"/>
          <w:bCs/>
        </w:rPr>
      </w:pPr>
      <w:r w:rsidRPr="00165A71">
        <w:rPr>
          <w:rFonts w:eastAsia="Calibri"/>
          <w:bCs/>
        </w:rPr>
        <w:t>c/o Access to Justice Policy Division</w:t>
      </w:r>
    </w:p>
    <w:p w14:paraId="0B4B64FF" w14:textId="77777777" w:rsidR="00165A71" w:rsidRPr="00165A71" w:rsidRDefault="00165A71" w:rsidP="00165A71">
      <w:pPr>
        <w:jc w:val="both"/>
        <w:rPr>
          <w:rFonts w:eastAsia="Calibri"/>
          <w:bCs/>
        </w:rPr>
      </w:pPr>
      <w:r w:rsidRPr="00165A71">
        <w:rPr>
          <w:rFonts w:eastAsia="Calibri"/>
          <w:bCs/>
        </w:rPr>
        <w:t>Ministry of Justice</w:t>
      </w:r>
    </w:p>
    <w:p w14:paraId="666E40E2" w14:textId="77777777" w:rsidR="00165A71" w:rsidRPr="00165A71" w:rsidRDefault="00165A71" w:rsidP="00165A71">
      <w:pPr>
        <w:jc w:val="both"/>
        <w:rPr>
          <w:rFonts w:eastAsia="Calibri"/>
          <w:bCs/>
        </w:rPr>
      </w:pPr>
      <w:r w:rsidRPr="00165A71">
        <w:rPr>
          <w:rFonts w:eastAsia="Calibri"/>
          <w:bCs/>
        </w:rPr>
        <w:t>Post Point 10.24</w:t>
      </w:r>
    </w:p>
    <w:p w14:paraId="2EBC0B6C" w14:textId="77777777" w:rsidR="00165A71" w:rsidRPr="00165A71" w:rsidRDefault="00165A71" w:rsidP="00165A71">
      <w:pPr>
        <w:jc w:val="both"/>
        <w:rPr>
          <w:rFonts w:eastAsia="Calibri"/>
          <w:bCs/>
        </w:rPr>
      </w:pPr>
      <w:r w:rsidRPr="00165A71">
        <w:rPr>
          <w:rFonts w:eastAsia="Calibri"/>
          <w:bCs/>
        </w:rPr>
        <w:t>102 Petty France</w:t>
      </w:r>
    </w:p>
    <w:p w14:paraId="7F0F0898" w14:textId="77777777" w:rsidR="00165A71" w:rsidRPr="00165A71" w:rsidRDefault="00165A71" w:rsidP="00165A71">
      <w:pPr>
        <w:jc w:val="both"/>
        <w:rPr>
          <w:rFonts w:eastAsia="Calibri"/>
          <w:bCs/>
        </w:rPr>
      </w:pPr>
      <w:r w:rsidRPr="00165A71">
        <w:rPr>
          <w:rFonts w:eastAsia="Calibri"/>
          <w:bCs/>
        </w:rPr>
        <w:t>London</w:t>
      </w:r>
    </w:p>
    <w:p w14:paraId="7EC9B1AA" w14:textId="77777777" w:rsidR="00165A71" w:rsidRPr="00165A71" w:rsidRDefault="00165A71" w:rsidP="00165A71">
      <w:pPr>
        <w:jc w:val="both"/>
        <w:rPr>
          <w:rFonts w:eastAsia="Calibri"/>
          <w:bCs/>
        </w:rPr>
      </w:pPr>
      <w:r w:rsidRPr="00165A71">
        <w:rPr>
          <w:rFonts w:eastAsia="Calibri"/>
          <w:bCs/>
        </w:rPr>
        <w:t>SW1H 9AJ</w:t>
      </w:r>
    </w:p>
    <w:p w14:paraId="11C8C2FA" w14:textId="1AB1D01B" w:rsidR="00165A71" w:rsidRDefault="00165A71" w:rsidP="00165A71">
      <w:pPr>
        <w:jc w:val="both"/>
        <w:rPr>
          <w:rFonts w:eastAsia="Calibri"/>
          <w:bCs/>
        </w:rPr>
      </w:pPr>
      <w:r w:rsidRPr="00165A71">
        <w:rPr>
          <w:rFonts w:eastAsia="Calibri"/>
          <w:bCs/>
        </w:rPr>
        <w:t>United Kingdom</w:t>
      </w:r>
    </w:p>
    <w:p w14:paraId="40257ED1" w14:textId="77777777" w:rsidR="00165A71" w:rsidRDefault="00165A71" w:rsidP="00165A71">
      <w:pPr>
        <w:jc w:val="both"/>
        <w:rPr>
          <w:rFonts w:eastAsia="Calibri"/>
          <w:bCs/>
        </w:rPr>
      </w:pPr>
    </w:p>
    <w:p w14:paraId="797EE985" w14:textId="7C354B28" w:rsidR="00165A71" w:rsidRPr="00165A71" w:rsidRDefault="00165A71" w:rsidP="00165A71">
      <w:pPr>
        <w:jc w:val="both"/>
        <w:rPr>
          <w:rFonts w:eastAsia="Calibri"/>
          <w:bCs/>
        </w:rPr>
      </w:pPr>
      <w:r>
        <w:rPr>
          <w:rFonts w:eastAsia="Calibri"/>
          <w:bCs/>
        </w:rPr>
        <w:t>28 June 2022</w:t>
      </w:r>
    </w:p>
    <w:p w14:paraId="2C3B06C7" w14:textId="77777777" w:rsidR="000E220F" w:rsidRDefault="000E220F" w:rsidP="000E220F">
      <w:pPr>
        <w:jc w:val="both"/>
        <w:rPr>
          <w:rFonts w:eastAsia="Calibri"/>
        </w:rPr>
      </w:pPr>
    </w:p>
    <w:p w14:paraId="35C63FD5" w14:textId="3A60E09A" w:rsidR="00165A71" w:rsidRDefault="00165A71" w:rsidP="000E220F">
      <w:pPr>
        <w:jc w:val="both"/>
        <w:rPr>
          <w:rFonts w:eastAsia="Calibri"/>
        </w:rPr>
      </w:pPr>
      <w:r>
        <w:rPr>
          <w:rFonts w:eastAsia="Calibri"/>
        </w:rPr>
        <w:t xml:space="preserve">By email: </w:t>
      </w:r>
      <w:hyperlink r:id="rId5" w:history="1">
        <w:r w:rsidRPr="00AE5B4A">
          <w:rPr>
            <w:rStyle w:val="Hyperlink"/>
            <w:rFonts w:eastAsia="Calibri"/>
          </w:rPr>
          <w:t>CPRCRollingConsultations@justice.gov.uk</w:t>
        </w:r>
      </w:hyperlink>
      <w:r>
        <w:rPr>
          <w:rFonts w:eastAsia="Calibri"/>
        </w:rPr>
        <w:t xml:space="preserve"> </w:t>
      </w:r>
    </w:p>
    <w:p w14:paraId="118B8BAC" w14:textId="77777777" w:rsidR="00165A71" w:rsidRDefault="00165A71" w:rsidP="000E220F">
      <w:pPr>
        <w:jc w:val="both"/>
        <w:rPr>
          <w:rFonts w:eastAsia="Calibri"/>
        </w:rPr>
      </w:pPr>
    </w:p>
    <w:p w14:paraId="28EB3F87" w14:textId="354536F1" w:rsidR="000E220F" w:rsidRDefault="00165A71" w:rsidP="000E220F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Dear </w:t>
      </w:r>
      <w:r w:rsidRPr="00165A71">
        <w:rPr>
          <w:rFonts w:eastAsia="Calibri"/>
          <w:bCs/>
        </w:rPr>
        <w:t>Mr Poole</w:t>
      </w:r>
    </w:p>
    <w:p w14:paraId="434373A2" w14:textId="4F951D08" w:rsidR="00165A71" w:rsidRDefault="00165A71" w:rsidP="000E220F">
      <w:pPr>
        <w:jc w:val="both"/>
        <w:rPr>
          <w:rFonts w:eastAsia="Calibri"/>
          <w:b/>
          <w:bCs/>
        </w:rPr>
      </w:pPr>
      <w:r w:rsidRPr="00165A71">
        <w:rPr>
          <w:rFonts w:eastAsia="Calibri"/>
          <w:b/>
          <w:bCs/>
        </w:rPr>
        <w:t>Consultation on proposed amendments to Part 19 of the Civil Procedure Rules and the supplementing Practice Directions</w:t>
      </w:r>
    </w:p>
    <w:p w14:paraId="6A661A67" w14:textId="758272FE" w:rsidR="00BE18E0" w:rsidRDefault="00165A71" w:rsidP="002E69E3">
      <w:pPr>
        <w:jc w:val="both"/>
      </w:pPr>
      <w:r>
        <w:t>We are grateful for</w:t>
      </w:r>
      <w:r w:rsidR="000E220F" w:rsidRPr="00000C78">
        <w:t xml:space="preserve"> the opportunity to respond to the CPRC’s consultation on Part </w:t>
      </w:r>
      <w:r w:rsidR="000E220F">
        <w:t>19</w:t>
      </w:r>
      <w:r w:rsidR="000E220F" w:rsidRPr="00000C78">
        <w:t xml:space="preserve"> of the Civil Procedure Rules</w:t>
      </w:r>
      <w:r w:rsidR="000E220F">
        <w:t xml:space="preserve"> and the supplementing Practice Directions</w:t>
      </w:r>
      <w:r w:rsidR="000E220F" w:rsidRPr="00000C78">
        <w:t xml:space="preserve">. </w:t>
      </w:r>
      <w:r w:rsidR="00057E78" w:rsidRPr="00057E78">
        <w:t>We welcome the proposed amendments overall</w:t>
      </w:r>
      <w:r w:rsidR="00057E78">
        <w:t xml:space="preserve"> </w:t>
      </w:r>
      <w:r w:rsidR="00057E78" w:rsidRPr="00057E78">
        <w:t>and the removal of duplicative and obsolete text. We believe that merging Pra</w:t>
      </w:r>
      <w:r w:rsidR="000375C5">
        <w:t>ctic</w:t>
      </w:r>
      <w:r w:rsidR="00057E78" w:rsidRPr="00057E78">
        <w:t>e Direction</w:t>
      </w:r>
      <w:r w:rsidR="00A9396E">
        <w:t xml:space="preserve"> </w:t>
      </w:r>
      <w:r w:rsidR="00A9396E" w:rsidRPr="00BE18E0">
        <w:t>(PD)</w:t>
      </w:r>
      <w:r w:rsidR="00057E78" w:rsidRPr="00BE18E0">
        <w:t xml:space="preserve"> </w:t>
      </w:r>
      <w:r w:rsidR="00057E78" w:rsidRPr="00057E78">
        <w:t xml:space="preserve">19A with the rule is efficient and saves from </w:t>
      </w:r>
      <w:r w:rsidR="009B430B">
        <w:t xml:space="preserve">constantly </w:t>
      </w:r>
      <w:r w:rsidR="00057E78" w:rsidRPr="00057E78">
        <w:t>changin</w:t>
      </w:r>
      <w:r w:rsidR="00057E78">
        <w:t xml:space="preserve">g from one </w:t>
      </w:r>
      <w:r w:rsidR="009B430B" w:rsidRPr="009B430B">
        <w:t>extensive</w:t>
      </w:r>
      <w:r w:rsidR="009B430B">
        <w:t xml:space="preserve"> </w:t>
      </w:r>
      <w:r w:rsidR="00057E78">
        <w:t xml:space="preserve">document to another. </w:t>
      </w:r>
      <w:r w:rsidR="00057E78">
        <w:rPr>
          <w:color w:val="202020"/>
          <w:lang w:eastAsia="en-GB"/>
        </w:rPr>
        <w:t xml:space="preserve">We </w:t>
      </w:r>
      <w:r w:rsidR="00BE18E0">
        <w:rPr>
          <w:lang w:eastAsia="en-GB"/>
        </w:rPr>
        <w:t>believe</w:t>
      </w:r>
      <w:r w:rsidR="00A9396E">
        <w:rPr>
          <w:color w:val="202020"/>
          <w:lang w:eastAsia="en-GB"/>
        </w:rPr>
        <w:t xml:space="preserve"> </w:t>
      </w:r>
      <w:r w:rsidR="00057E78">
        <w:rPr>
          <w:color w:val="202020"/>
          <w:lang w:eastAsia="en-GB"/>
        </w:rPr>
        <w:t xml:space="preserve">that reducing the scope of </w:t>
      </w:r>
      <w:r w:rsidR="00057E78" w:rsidRPr="00057E78">
        <w:rPr>
          <w:color w:val="202020"/>
          <w:lang w:eastAsia="en-GB"/>
        </w:rPr>
        <w:t>PD 19B</w:t>
      </w:r>
      <w:r w:rsidR="00057E78">
        <w:rPr>
          <w:color w:val="202020"/>
          <w:lang w:eastAsia="en-GB"/>
        </w:rPr>
        <w:t xml:space="preserve"> and</w:t>
      </w:r>
      <w:r w:rsidR="00057E78" w:rsidRPr="00057E78">
        <w:rPr>
          <w:color w:val="202020"/>
          <w:lang w:eastAsia="en-GB"/>
        </w:rPr>
        <w:t xml:space="preserve"> PD 19C </w:t>
      </w:r>
      <w:r w:rsidR="00057E78">
        <w:rPr>
          <w:color w:val="202020"/>
          <w:lang w:eastAsia="en-GB"/>
        </w:rPr>
        <w:t>and importing some text into the rule is very helpful and simplifies its use.</w:t>
      </w:r>
      <w:r w:rsidR="00057E78" w:rsidRPr="00057E78">
        <w:rPr>
          <w:color w:val="202020"/>
          <w:lang w:eastAsia="en-GB"/>
        </w:rPr>
        <w:t xml:space="preserve"> </w:t>
      </w:r>
      <w:r w:rsidR="00F80583">
        <w:rPr>
          <w:color w:val="202020"/>
          <w:lang w:eastAsia="en-GB"/>
        </w:rPr>
        <w:t xml:space="preserve">Nevertheless, </w:t>
      </w:r>
      <w:r w:rsidR="00F80583">
        <w:t xml:space="preserve">we </w:t>
      </w:r>
      <w:r w:rsidR="000E220F">
        <w:t>have highlighted below where the suggested changes may lead to further confusion rat</w:t>
      </w:r>
      <w:r w:rsidR="002E69E3">
        <w:t xml:space="preserve">her than the clarity aimed for. Our response only reflects a personal injury perspective </w:t>
      </w:r>
      <w:r w:rsidR="002E69E3" w:rsidRPr="002E69E3">
        <w:t xml:space="preserve">from harmful </w:t>
      </w:r>
      <w:r w:rsidR="002E69E3">
        <w:t>product</w:t>
      </w:r>
      <w:r w:rsidR="002E69E3" w:rsidRPr="002E69E3">
        <w:t xml:space="preserve"> claims as opposed to any other sort of group claim.</w:t>
      </w:r>
    </w:p>
    <w:p w14:paraId="5591F6D0" w14:textId="77777777" w:rsidR="00B67D7F" w:rsidRDefault="006B0EE7" w:rsidP="000E220F">
      <w:pPr>
        <w:jc w:val="both"/>
        <w:rPr>
          <w:b/>
          <w:bCs/>
        </w:rPr>
      </w:pPr>
      <w:r w:rsidRPr="006B0EE7">
        <w:rPr>
          <w:b/>
          <w:bCs/>
        </w:rPr>
        <w:t xml:space="preserve">Part 19 </w:t>
      </w:r>
    </w:p>
    <w:p w14:paraId="2E421845" w14:textId="5BB670D0" w:rsidR="00306016" w:rsidRDefault="006B0EE7" w:rsidP="000E220F">
      <w:pPr>
        <w:jc w:val="both"/>
        <w:rPr>
          <w:b/>
          <w:bCs/>
        </w:rPr>
      </w:pPr>
      <w:r w:rsidRPr="006B0EE7">
        <w:rPr>
          <w:rFonts w:ascii="Times New Roman" w:hAnsi="Times New Roman" w:cs="Times New Roman"/>
          <w:b/>
          <w:bCs/>
        </w:rPr>
        <w:t>I</w:t>
      </w:r>
      <w:r>
        <w:rPr>
          <w:b/>
          <w:bCs/>
        </w:rPr>
        <w:t xml:space="preserve"> Addition and substitution of parties </w:t>
      </w:r>
    </w:p>
    <w:p w14:paraId="545D3865" w14:textId="2CBC90FE" w:rsidR="006B0EE7" w:rsidRDefault="006B0EE7" w:rsidP="000E220F">
      <w:pPr>
        <w:jc w:val="both"/>
        <w:rPr>
          <w:b/>
          <w:bCs/>
        </w:rPr>
      </w:pPr>
      <w:r w:rsidRPr="006B0EE7">
        <w:rPr>
          <w:b/>
          <w:bCs/>
        </w:rPr>
        <w:t>19.3</w:t>
      </w:r>
      <w:r>
        <w:rPr>
          <w:b/>
          <w:bCs/>
        </w:rPr>
        <w:t xml:space="preserve"> (1) </w:t>
      </w:r>
    </w:p>
    <w:p w14:paraId="382D1F47" w14:textId="307A75E5" w:rsidR="006B0EE7" w:rsidRPr="00BE18E0" w:rsidRDefault="00E156C1" w:rsidP="000E220F">
      <w:pPr>
        <w:jc w:val="both"/>
      </w:pPr>
      <w:r>
        <w:t xml:space="preserve">We do not think that the proposed amendment to Part </w:t>
      </w:r>
      <w:r w:rsidR="00B67D7F">
        <w:t>19.3 (1) makes this section simpler or clearer</w:t>
      </w:r>
      <w:r>
        <w:t>. The removal of the beginning of the sentence may cause confusion</w:t>
      </w:r>
      <w:r w:rsidR="006410E9">
        <w:t xml:space="preserve">. We do not understand </w:t>
      </w:r>
      <w:r w:rsidR="00433779">
        <w:t>the motive behind the proposed amendmen</w:t>
      </w:r>
      <w:r w:rsidR="007B4F11">
        <w:t>t</w:t>
      </w:r>
      <w:r w:rsidR="00B67D7F">
        <w:t xml:space="preserve"> or what was meant to be achieved with it. It</w:t>
      </w:r>
      <w:r w:rsidR="00433779">
        <w:t xml:space="preserve"> seems to us that the </w:t>
      </w:r>
      <w:r w:rsidR="00B67D7F">
        <w:t>amendment</w:t>
      </w:r>
      <w:r w:rsidR="00433779">
        <w:t xml:space="preserve"> </w:t>
      </w:r>
      <w:r w:rsidR="00B67D7F">
        <w:t xml:space="preserve">proposed was </w:t>
      </w:r>
      <w:r w:rsidR="00A9396E">
        <w:t>purely</w:t>
      </w:r>
      <w:r w:rsidR="00B67D7F">
        <w:t xml:space="preserve"> for the sake of brevity. </w:t>
      </w:r>
      <w:r w:rsidR="00B67D7F" w:rsidRPr="00BE18E0">
        <w:t xml:space="preserve">We suggest that </w:t>
      </w:r>
      <w:r w:rsidR="00A9396E" w:rsidRPr="00BE18E0">
        <w:t>19.3(1) should remain as it is.</w:t>
      </w:r>
      <w:r w:rsidR="00B67D7F" w:rsidRPr="00BE18E0">
        <w:t xml:space="preserve"> </w:t>
      </w:r>
    </w:p>
    <w:p w14:paraId="417B4BE4" w14:textId="77777777" w:rsidR="000E220F" w:rsidRDefault="000E220F" w:rsidP="000E220F">
      <w:pPr>
        <w:jc w:val="both"/>
      </w:pPr>
    </w:p>
    <w:p w14:paraId="14048C4A" w14:textId="6481BCE7" w:rsidR="00B67D7F" w:rsidRPr="00BE18E0" w:rsidRDefault="00B67D7F" w:rsidP="00B67D7F">
      <w:r w:rsidRPr="006520DC">
        <w:t xml:space="preserve">We hope that our comments prove useful. </w:t>
      </w:r>
      <w:r w:rsidR="00A9396E" w:rsidRPr="00BE18E0">
        <w:t xml:space="preserve">If you have any queries about our response, please contact Ana Ramos, Legal Affairs Assistant, on the contact information below, in the first instance. </w:t>
      </w:r>
    </w:p>
    <w:p w14:paraId="2EA6B8E9" w14:textId="45C265EA" w:rsidR="00B67D7F" w:rsidRDefault="00B67D7F" w:rsidP="00B67D7F">
      <w:r w:rsidRPr="006520DC">
        <w:lastRenderedPageBreak/>
        <w:t>Yours sincerely</w:t>
      </w:r>
      <w:r w:rsidR="00FA3EFF">
        <w:t xml:space="preserve">, </w:t>
      </w:r>
    </w:p>
    <w:p w14:paraId="44162EE1" w14:textId="4DCCAB22" w:rsidR="00313229" w:rsidRDefault="00B856BD" w:rsidP="00B67D7F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4261907" wp14:editId="25B1B1CB">
            <wp:simplePos x="0" y="0"/>
            <wp:positionH relativeFrom="margin">
              <wp:align>left</wp:align>
            </wp:positionH>
            <wp:positionV relativeFrom="paragraph">
              <wp:posOffset>9728</wp:posOffset>
            </wp:positionV>
            <wp:extent cx="1990090" cy="9874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10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9" t="17705" r="357" b="13966"/>
                    <a:stretch/>
                  </pic:blipFill>
                  <pic:spPr bwMode="auto">
                    <a:xfrm>
                      <a:off x="0" y="0"/>
                      <a:ext cx="1995314" cy="990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ADE62" w14:textId="5E31222B" w:rsidR="00B856BD" w:rsidRDefault="00B856BD" w:rsidP="00B67D7F"/>
    <w:p w14:paraId="7AA2075A" w14:textId="77777777" w:rsidR="00B856BD" w:rsidRDefault="00B856BD" w:rsidP="00B67D7F"/>
    <w:p w14:paraId="588E18FA" w14:textId="77777777" w:rsidR="00B856BD" w:rsidRDefault="00B856BD" w:rsidP="000E220F">
      <w:pPr>
        <w:jc w:val="both"/>
      </w:pPr>
    </w:p>
    <w:p w14:paraId="12D654C9" w14:textId="2B60056B" w:rsidR="00B67D7F" w:rsidRDefault="00B67D7F" w:rsidP="000E220F">
      <w:pPr>
        <w:jc w:val="both"/>
      </w:pPr>
      <w:r>
        <w:t xml:space="preserve">Ana Ramos </w:t>
      </w:r>
    </w:p>
    <w:p w14:paraId="1DBCA0FB" w14:textId="07882EB0" w:rsidR="00B67D7F" w:rsidRPr="00000C78" w:rsidRDefault="00B67D7F" w:rsidP="000E220F">
      <w:pPr>
        <w:jc w:val="both"/>
      </w:pPr>
      <w:r>
        <w:t xml:space="preserve">Legal Affairs Assistant </w:t>
      </w:r>
    </w:p>
    <w:p w14:paraId="46B68E94" w14:textId="296AED32" w:rsidR="00736667" w:rsidRDefault="00B67D7F">
      <w:r>
        <w:t xml:space="preserve">APIL </w:t>
      </w:r>
    </w:p>
    <w:p w14:paraId="061A62C5" w14:textId="73F2D370" w:rsidR="00B67D7F" w:rsidRDefault="007366E1">
      <w:hyperlink r:id="rId7" w:history="1">
        <w:r w:rsidR="00B67D7F" w:rsidRPr="00AE5B4A">
          <w:rPr>
            <w:rStyle w:val="Hyperlink"/>
          </w:rPr>
          <w:t>Ana.ramos@apil.org.uk</w:t>
        </w:r>
      </w:hyperlink>
      <w:r w:rsidR="00B67D7F">
        <w:t xml:space="preserve"> </w:t>
      </w:r>
    </w:p>
    <w:p w14:paraId="45A669BF" w14:textId="57C39509" w:rsidR="00B67D7F" w:rsidRDefault="00B67D7F">
      <w:r>
        <w:t>0</w:t>
      </w:r>
      <w:r w:rsidRPr="00B67D7F">
        <w:t>115 943 5401</w:t>
      </w:r>
    </w:p>
    <w:p w14:paraId="6637642B" w14:textId="77777777" w:rsidR="000E220F" w:rsidRDefault="000E220F">
      <w:bookmarkStart w:id="0" w:name="_GoBack"/>
      <w:bookmarkEnd w:id="0"/>
    </w:p>
    <w:sectPr w:rsidR="000E2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0F"/>
    <w:rsid w:val="000375C5"/>
    <w:rsid w:val="00057E78"/>
    <w:rsid w:val="000A62E8"/>
    <w:rsid w:val="000E220F"/>
    <w:rsid w:val="00165A71"/>
    <w:rsid w:val="00190B55"/>
    <w:rsid w:val="002E69E3"/>
    <w:rsid w:val="00306016"/>
    <w:rsid w:val="00313229"/>
    <w:rsid w:val="00351A10"/>
    <w:rsid w:val="00433779"/>
    <w:rsid w:val="006410E9"/>
    <w:rsid w:val="006B0EE7"/>
    <w:rsid w:val="00736667"/>
    <w:rsid w:val="007366E1"/>
    <w:rsid w:val="007B4F11"/>
    <w:rsid w:val="00814FA4"/>
    <w:rsid w:val="00982C64"/>
    <w:rsid w:val="009B430B"/>
    <w:rsid w:val="00A9396E"/>
    <w:rsid w:val="00B67D7F"/>
    <w:rsid w:val="00B856BD"/>
    <w:rsid w:val="00BE18E0"/>
    <w:rsid w:val="00C63A08"/>
    <w:rsid w:val="00DD299B"/>
    <w:rsid w:val="00E156C1"/>
    <w:rsid w:val="00F80583"/>
    <w:rsid w:val="00FA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B5AE"/>
  <w15:chartTrackingRefBased/>
  <w15:docId w15:val="{C972DDDE-A7DC-4BA1-BB10-53DF4750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A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a.ramos@apil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PRCRollingConsultations@justice.gov.u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Ramos</dc:creator>
  <cp:keywords/>
  <dc:description/>
  <cp:lastModifiedBy>Ana Ramos</cp:lastModifiedBy>
  <cp:revision>6</cp:revision>
  <dcterms:created xsi:type="dcterms:W3CDTF">2022-06-28T12:51:00Z</dcterms:created>
  <dcterms:modified xsi:type="dcterms:W3CDTF">2022-07-05T08:36:00Z</dcterms:modified>
</cp:coreProperties>
</file>