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27AF" w14:textId="126EB172" w:rsidR="00C0547D" w:rsidRDefault="00C0547D" w:rsidP="00C0547D">
      <w:pPr>
        <w:jc w:val="both"/>
        <w:rPr>
          <w:rFonts w:eastAsia="Calibri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39044E" wp14:editId="61F1C06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68095" cy="735330"/>
            <wp:effectExtent l="0" t="0" r="8255" b="762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Cs/>
        </w:rPr>
        <w:t>Carl Poole</w:t>
      </w:r>
    </w:p>
    <w:p w14:paraId="056A4E74" w14:textId="77777777" w:rsidR="00C0547D" w:rsidRDefault="00C0547D" w:rsidP="00C0547D">
      <w:pPr>
        <w:jc w:val="both"/>
        <w:rPr>
          <w:rFonts w:eastAsia="Calibri"/>
          <w:bCs/>
        </w:rPr>
      </w:pPr>
      <w:r>
        <w:rPr>
          <w:rFonts w:eastAsia="Calibri"/>
          <w:bCs/>
        </w:rPr>
        <w:t>Secretary to the Civil Procedure Rule Committee</w:t>
      </w:r>
    </w:p>
    <w:p w14:paraId="5A505E94" w14:textId="77777777" w:rsidR="00C0547D" w:rsidRDefault="00C0547D" w:rsidP="00C0547D">
      <w:pPr>
        <w:jc w:val="both"/>
        <w:rPr>
          <w:rFonts w:eastAsia="Calibri"/>
          <w:bCs/>
        </w:rPr>
      </w:pPr>
      <w:r>
        <w:rPr>
          <w:rFonts w:eastAsia="Calibri"/>
          <w:bCs/>
        </w:rPr>
        <w:t>c/o Access to Justice Policy Division</w:t>
      </w:r>
    </w:p>
    <w:p w14:paraId="58493492" w14:textId="77777777" w:rsidR="00C0547D" w:rsidRDefault="00C0547D" w:rsidP="00C0547D">
      <w:pPr>
        <w:jc w:val="both"/>
        <w:rPr>
          <w:rFonts w:eastAsia="Calibri"/>
          <w:bCs/>
        </w:rPr>
      </w:pPr>
      <w:r>
        <w:rPr>
          <w:rFonts w:eastAsia="Calibri"/>
          <w:bCs/>
        </w:rPr>
        <w:t>Ministry of Justice</w:t>
      </w:r>
    </w:p>
    <w:p w14:paraId="0B72B8F5" w14:textId="77777777" w:rsidR="00C0547D" w:rsidRDefault="00C0547D" w:rsidP="00C0547D">
      <w:pPr>
        <w:jc w:val="both"/>
        <w:rPr>
          <w:rFonts w:eastAsia="Calibri"/>
          <w:bCs/>
        </w:rPr>
      </w:pPr>
      <w:r>
        <w:rPr>
          <w:rFonts w:eastAsia="Calibri"/>
          <w:bCs/>
        </w:rPr>
        <w:t>Post Point 10.24</w:t>
      </w:r>
    </w:p>
    <w:p w14:paraId="4B2E4268" w14:textId="77777777" w:rsidR="00C0547D" w:rsidRDefault="00C0547D" w:rsidP="00C0547D">
      <w:pPr>
        <w:jc w:val="both"/>
        <w:rPr>
          <w:rFonts w:eastAsia="Calibri"/>
          <w:bCs/>
        </w:rPr>
      </w:pPr>
      <w:r>
        <w:rPr>
          <w:rFonts w:eastAsia="Calibri"/>
          <w:bCs/>
        </w:rPr>
        <w:t>102 Petty France</w:t>
      </w:r>
    </w:p>
    <w:p w14:paraId="48B65A7C" w14:textId="77777777" w:rsidR="00C0547D" w:rsidRDefault="00C0547D" w:rsidP="00C0547D">
      <w:pPr>
        <w:jc w:val="both"/>
        <w:rPr>
          <w:rFonts w:eastAsia="Calibri"/>
          <w:bCs/>
        </w:rPr>
      </w:pPr>
      <w:r>
        <w:rPr>
          <w:rFonts w:eastAsia="Calibri"/>
          <w:bCs/>
        </w:rPr>
        <w:t>London</w:t>
      </w:r>
    </w:p>
    <w:p w14:paraId="16BA248F" w14:textId="77777777" w:rsidR="00C0547D" w:rsidRDefault="00C0547D" w:rsidP="00C0547D">
      <w:pPr>
        <w:jc w:val="both"/>
        <w:rPr>
          <w:rFonts w:eastAsia="Calibri"/>
          <w:bCs/>
        </w:rPr>
      </w:pPr>
      <w:r>
        <w:rPr>
          <w:rFonts w:eastAsia="Calibri"/>
          <w:bCs/>
        </w:rPr>
        <w:t>SW1H 9AJ</w:t>
      </w:r>
    </w:p>
    <w:p w14:paraId="7E194FCC" w14:textId="77777777" w:rsidR="00C0547D" w:rsidRDefault="00C0547D" w:rsidP="00C0547D">
      <w:pPr>
        <w:jc w:val="both"/>
        <w:rPr>
          <w:rFonts w:eastAsia="Calibri"/>
          <w:bCs/>
        </w:rPr>
      </w:pPr>
      <w:r>
        <w:rPr>
          <w:rFonts w:eastAsia="Calibri"/>
          <w:bCs/>
        </w:rPr>
        <w:t>United Kingdom</w:t>
      </w:r>
    </w:p>
    <w:p w14:paraId="2C173AC0" w14:textId="77777777" w:rsidR="00C0547D" w:rsidRDefault="00C0547D" w:rsidP="00C0547D">
      <w:pPr>
        <w:jc w:val="both"/>
        <w:rPr>
          <w:rFonts w:eastAsia="Calibri"/>
          <w:bCs/>
        </w:rPr>
      </w:pPr>
    </w:p>
    <w:p w14:paraId="1235921F" w14:textId="27583695" w:rsidR="00C0547D" w:rsidRDefault="00C0547D" w:rsidP="00C0547D">
      <w:pPr>
        <w:jc w:val="both"/>
        <w:rPr>
          <w:rFonts w:eastAsia="Calibri"/>
          <w:bCs/>
        </w:rPr>
      </w:pPr>
      <w:r>
        <w:rPr>
          <w:rFonts w:eastAsia="Calibri"/>
          <w:bCs/>
        </w:rPr>
        <w:t>24 November 2022</w:t>
      </w:r>
    </w:p>
    <w:p w14:paraId="2C3375D9" w14:textId="77777777" w:rsidR="00C0547D" w:rsidRDefault="00C0547D" w:rsidP="00C0547D">
      <w:pPr>
        <w:jc w:val="both"/>
        <w:rPr>
          <w:rFonts w:eastAsia="Calibri"/>
        </w:rPr>
      </w:pPr>
    </w:p>
    <w:p w14:paraId="4D3CBD5A" w14:textId="77777777" w:rsidR="00C0547D" w:rsidRDefault="00C0547D" w:rsidP="00C0547D">
      <w:pPr>
        <w:jc w:val="both"/>
        <w:rPr>
          <w:rFonts w:eastAsia="Calibri"/>
        </w:rPr>
      </w:pPr>
      <w:r>
        <w:rPr>
          <w:rFonts w:eastAsia="Calibri"/>
        </w:rPr>
        <w:t xml:space="preserve">By email: </w:t>
      </w:r>
      <w:hyperlink r:id="rId9" w:history="1">
        <w:r>
          <w:rPr>
            <w:rStyle w:val="Hyperlink"/>
            <w:rFonts w:eastAsia="Calibri"/>
          </w:rPr>
          <w:t>CPRCRollingConsultations@justice.gov.uk</w:t>
        </w:r>
      </w:hyperlink>
      <w:r>
        <w:rPr>
          <w:rFonts w:eastAsia="Calibri"/>
        </w:rPr>
        <w:t xml:space="preserve"> </w:t>
      </w:r>
    </w:p>
    <w:p w14:paraId="2E391664" w14:textId="77777777" w:rsidR="00C0547D" w:rsidRDefault="00C0547D" w:rsidP="00C0547D">
      <w:pPr>
        <w:jc w:val="both"/>
        <w:rPr>
          <w:rFonts w:eastAsia="Calibri"/>
        </w:rPr>
      </w:pPr>
    </w:p>
    <w:p w14:paraId="5F1CB4FF" w14:textId="21E58D97" w:rsidR="00C0547D" w:rsidRDefault="00C0547D" w:rsidP="00C0547D">
      <w:pPr>
        <w:jc w:val="both"/>
        <w:rPr>
          <w:rFonts w:eastAsia="Calibri"/>
          <w:bCs/>
        </w:rPr>
      </w:pPr>
      <w:r>
        <w:rPr>
          <w:rFonts w:eastAsia="Calibri"/>
          <w:bCs/>
        </w:rPr>
        <w:t>Dear Mr Poole</w:t>
      </w:r>
      <w:r w:rsidR="00DD21BF">
        <w:rPr>
          <w:rFonts w:eastAsia="Calibri"/>
          <w:bCs/>
        </w:rPr>
        <w:t>,</w:t>
      </w:r>
    </w:p>
    <w:p w14:paraId="6B587D17" w14:textId="12678FF6" w:rsidR="00C0547D" w:rsidRDefault="00C0547D" w:rsidP="00C0547D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Consultation on proposed amendments to CPR Part 21 and proposed revocation of Practice Direction 21</w:t>
      </w:r>
    </w:p>
    <w:p w14:paraId="61C0FDF2" w14:textId="39E97AE9" w:rsidR="0018116C" w:rsidRDefault="00C0547D" w:rsidP="00C0547D">
      <w:pPr>
        <w:jc w:val="both"/>
      </w:pPr>
      <w:r>
        <w:t>APIL is grateful for the opportunity to respond to the CPRC’s consultation on Part 21 of the Civil Procedure Rules and the supplementing Practice Direction</w:t>
      </w:r>
      <w:r w:rsidR="00363D4C">
        <w:t xml:space="preserve"> </w:t>
      </w:r>
      <w:r>
        <w:t xml:space="preserve">(PD). </w:t>
      </w:r>
      <w:r w:rsidR="002A27E8">
        <w:rPr>
          <w:color w:val="202020"/>
          <w:lang w:eastAsia="en-GB"/>
        </w:rPr>
        <w:t xml:space="preserve">While revoking PD 21 and incorporating some of the provisions into the rule may lead to simplicity of use, </w:t>
      </w:r>
      <w:r w:rsidR="00F66FD8">
        <w:rPr>
          <w:color w:val="202020"/>
          <w:lang w:eastAsia="en-GB"/>
        </w:rPr>
        <w:t xml:space="preserve">we are concerned </w:t>
      </w:r>
      <w:r w:rsidR="00657E7F">
        <w:rPr>
          <w:color w:val="202020"/>
          <w:lang w:eastAsia="en-GB"/>
        </w:rPr>
        <w:t>about</w:t>
      </w:r>
      <w:r w:rsidR="009B1D84">
        <w:rPr>
          <w:color w:val="202020"/>
          <w:lang w:eastAsia="en-GB"/>
        </w:rPr>
        <w:t xml:space="preserve"> </w:t>
      </w:r>
      <w:r w:rsidR="00F66FD8">
        <w:rPr>
          <w:color w:val="202020"/>
          <w:lang w:eastAsia="en-GB"/>
        </w:rPr>
        <w:t xml:space="preserve">the practical effect of importing parts of a PD into </w:t>
      </w:r>
      <w:r w:rsidR="0015203E">
        <w:rPr>
          <w:color w:val="202020"/>
          <w:lang w:eastAsia="en-GB"/>
        </w:rPr>
        <w:t xml:space="preserve">a rule. </w:t>
      </w:r>
      <w:r w:rsidR="00D56538">
        <w:rPr>
          <w:color w:val="202020"/>
          <w:lang w:eastAsia="en-GB"/>
        </w:rPr>
        <w:t>Transferring</w:t>
      </w:r>
      <w:r w:rsidR="00F65009">
        <w:rPr>
          <w:color w:val="202020"/>
          <w:lang w:eastAsia="en-GB"/>
        </w:rPr>
        <w:t xml:space="preserve"> provisions </w:t>
      </w:r>
      <w:r w:rsidR="00D56538">
        <w:rPr>
          <w:color w:val="202020"/>
          <w:lang w:eastAsia="en-GB"/>
        </w:rPr>
        <w:t xml:space="preserve">from the PD that were simply advisory into the rule </w:t>
      </w:r>
      <w:r w:rsidR="002A27E8">
        <w:rPr>
          <w:color w:val="202020"/>
          <w:lang w:eastAsia="en-GB"/>
        </w:rPr>
        <w:t>and, subsequently</w:t>
      </w:r>
      <w:r w:rsidR="00EF6657">
        <w:rPr>
          <w:color w:val="202020"/>
          <w:lang w:eastAsia="en-GB"/>
        </w:rPr>
        <w:t>, making</w:t>
      </w:r>
      <w:r w:rsidR="00D56538">
        <w:rPr>
          <w:color w:val="202020"/>
          <w:lang w:eastAsia="en-GB"/>
        </w:rPr>
        <w:t xml:space="preserve"> them compulsory can cause problems in practice</w:t>
      </w:r>
      <w:r w:rsidR="00095784">
        <w:rPr>
          <w:color w:val="202020"/>
          <w:lang w:eastAsia="en-GB"/>
        </w:rPr>
        <w:t xml:space="preserve"> and </w:t>
      </w:r>
      <w:r w:rsidR="004D3DA0">
        <w:rPr>
          <w:color w:val="202020"/>
          <w:lang w:eastAsia="en-GB"/>
        </w:rPr>
        <w:t xml:space="preserve">create </w:t>
      </w:r>
      <w:r w:rsidR="00BC18B1">
        <w:rPr>
          <w:color w:val="202020"/>
          <w:lang w:eastAsia="en-GB"/>
        </w:rPr>
        <w:t>satellite</w:t>
      </w:r>
      <w:r w:rsidR="009B1D84">
        <w:rPr>
          <w:color w:val="202020"/>
          <w:lang w:eastAsia="en-GB"/>
        </w:rPr>
        <w:t xml:space="preserve"> </w:t>
      </w:r>
      <w:r w:rsidR="004D3DA0">
        <w:rPr>
          <w:color w:val="202020"/>
          <w:lang w:eastAsia="en-GB"/>
        </w:rPr>
        <w:t>litigation</w:t>
      </w:r>
      <w:r w:rsidR="00D56538">
        <w:rPr>
          <w:color w:val="202020"/>
          <w:lang w:eastAsia="en-GB"/>
        </w:rPr>
        <w:t xml:space="preserve">. </w:t>
      </w:r>
      <w:r w:rsidR="00F65009" w:rsidRPr="00F65009">
        <w:rPr>
          <w:color w:val="202020"/>
          <w:lang w:eastAsia="en-GB"/>
        </w:rPr>
        <w:t xml:space="preserve">We welcome the proposed amendments overall, but we have highlighted some areas of concern below.  </w:t>
      </w:r>
    </w:p>
    <w:p w14:paraId="1478DD0E" w14:textId="5C936AF8" w:rsidR="003D755E" w:rsidRDefault="002133E5" w:rsidP="00C0547D">
      <w:pPr>
        <w:jc w:val="both"/>
      </w:pPr>
      <w:r>
        <w:t>Furthermore,</w:t>
      </w:r>
      <w:r w:rsidR="00E338F1">
        <w:t xml:space="preserve"> our members have </w:t>
      </w:r>
      <w:r w:rsidR="00DB3ED5">
        <w:t>provided us with</w:t>
      </w:r>
      <w:r w:rsidR="004C317C">
        <w:t xml:space="preserve"> </w:t>
      </w:r>
      <w:r w:rsidR="00DB3ED5">
        <w:t>general comments about CPR Part 21</w:t>
      </w:r>
      <w:r w:rsidR="004C317C">
        <w:t>.</w:t>
      </w:r>
      <w:r w:rsidR="00657E7F">
        <w:t xml:space="preserve"> </w:t>
      </w:r>
      <w:r w:rsidR="004C317C">
        <w:t xml:space="preserve"> </w:t>
      </w:r>
      <w:r w:rsidR="00686F56">
        <w:t>APIL is</w:t>
      </w:r>
      <w:r w:rsidR="004C317C">
        <w:t xml:space="preserve"> aware that this consultation </w:t>
      </w:r>
      <w:r w:rsidR="00657E7F">
        <w:t xml:space="preserve">has </w:t>
      </w:r>
      <w:r w:rsidR="00F425B5">
        <w:t xml:space="preserve">a limited focus </w:t>
      </w:r>
      <w:r w:rsidR="00657E7F">
        <w:t>specifically on the draft</w:t>
      </w:r>
      <w:r w:rsidR="009B1D84">
        <w:t xml:space="preserve"> </w:t>
      </w:r>
      <w:r w:rsidR="00F425B5">
        <w:t>changes</w:t>
      </w:r>
      <w:r w:rsidR="00657E7F">
        <w:t xml:space="preserve">, but we have included some broader comments for consideration. A wider review of CPR Part 21 is needed. </w:t>
      </w:r>
      <w:r w:rsidR="00A54E8C">
        <w:t xml:space="preserve"> </w:t>
      </w:r>
    </w:p>
    <w:p w14:paraId="0E5085FB" w14:textId="42309E5D" w:rsidR="0086120A" w:rsidRDefault="0086120A" w:rsidP="00C0547D">
      <w:pPr>
        <w:jc w:val="both"/>
      </w:pPr>
    </w:p>
    <w:p w14:paraId="5E3827C1" w14:textId="1E42755E" w:rsidR="0086120A" w:rsidRPr="0086120A" w:rsidRDefault="0086120A" w:rsidP="00C0547D">
      <w:pPr>
        <w:jc w:val="both"/>
        <w:rPr>
          <w:b/>
          <w:bCs/>
        </w:rPr>
      </w:pPr>
      <w:r w:rsidRPr="0086120A">
        <w:rPr>
          <w:b/>
          <w:bCs/>
        </w:rPr>
        <w:t xml:space="preserve">General comments </w:t>
      </w:r>
    </w:p>
    <w:p w14:paraId="6D5AB0E0" w14:textId="041C0981" w:rsidR="00585721" w:rsidRDefault="00A54E8C" w:rsidP="00C0547D">
      <w:pPr>
        <w:jc w:val="both"/>
      </w:pPr>
      <w:r>
        <w:t>We suggest that t</w:t>
      </w:r>
      <w:r w:rsidR="003F0547" w:rsidRPr="003F0547">
        <w:t xml:space="preserve">he </w:t>
      </w:r>
      <w:r w:rsidR="0026232D">
        <w:t>Civil Procedure Rules Committee</w:t>
      </w:r>
      <w:r w:rsidR="003F0547" w:rsidRPr="003F0547">
        <w:t xml:space="preserve"> consider</w:t>
      </w:r>
      <w:r>
        <w:t>s</w:t>
      </w:r>
      <w:r w:rsidR="003F0547" w:rsidRPr="003F0547">
        <w:t xml:space="preserve"> adopting the family law approach</w:t>
      </w:r>
      <w:r w:rsidR="005C4548">
        <w:t xml:space="preserve"> to settlements </w:t>
      </w:r>
      <w:r w:rsidR="00C107C2">
        <w:t>under</w:t>
      </w:r>
      <w:r w:rsidR="005C4548">
        <w:t xml:space="preserve"> Part 21. </w:t>
      </w:r>
      <w:r w:rsidR="006B3AA5">
        <w:t xml:space="preserve">In family proceedings, </w:t>
      </w:r>
      <w:r w:rsidR="003F0547" w:rsidRPr="003F0547">
        <w:t xml:space="preserve">settlements which are subject to </w:t>
      </w:r>
      <w:r w:rsidR="00657E7F">
        <w:t>c</w:t>
      </w:r>
      <w:r w:rsidR="003F0547" w:rsidRPr="003F0547">
        <w:t>ourt approval are binding unless ordered otherwis</w:t>
      </w:r>
      <w:r w:rsidR="006D7FC6">
        <w:t xml:space="preserve">e. </w:t>
      </w:r>
      <w:r w:rsidR="003F0547" w:rsidRPr="003F0547">
        <w:t>Given the intention to review the discount rate every three years and the prospect of a differing rate for certain heads of loss, it is highly likely that there will be resiles</w:t>
      </w:r>
      <w:r w:rsidR="00657E7F">
        <w:t xml:space="preserve"> from defendants in the future</w:t>
      </w:r>
      <w:r w:rsidR="003F0547" w:rsidRPr="003F0547">
        <w:t>.</w:t>
      </w:r>
      <w:r w:rsidR="00875536" w:rsidRPr="00875536">
        <w:t xml:space="preserve"> The family law approach would </w:t>
      </w:r>
      <w:r w:rsidR="00875536">
        <w:t xml:space="preserve">hold </w:t>
      </w:r>
      <w:r w:rsidR="00657E7F">
        <w:t>d</w:t>
      </w:r>
      <w:r w:rsidR="00875536">
        <w:t>efendan</w:t>
      </w:r>
      <w:r w:rsidR="00D2268E">
        <w:t xml:space="preserve">ts to deals they have </w:t>
      </w:r>
      <w:proofErr w:type="gramStart"/>
      <w:r w:rsidR="00D2268E">
        <w:t>entered</w:t>
      </w:r>
      <w:r w:rsidR="00657E7F">
        <w:t xml:space="preserve"> into</w:t>
      </w:r>
      <w:proofErr w:type="gramEnd"/>
      <w:r w:rsidR="00FA37DE">
        <w:t xml:space="preserve">, </w:t>
      </w:r>
      <w:r w:rsidR="00211B3A" w:rsidRPr="00211B3A">
        <w:t>regardless of whether the discount rate has changed in the period between settlement and approval</w:t>
      </w:r>
      <w:r w:rsidR="00211B3A">
        <w:t xml:space="preserve">, </w:t>
      </w:r>
      <w:r w:rsidR="00D2268E">
        <w:t xml:space="preserve">unless the </w:t>
      </w:r>
      <w:r w:rsidR="00657E7F">
        <w:t>c</w:t>
      </w:r>
      <w:r w:rsidR="00D2268E">
        <w:t xml:space="preserve">ourt does not approve </w:t>
      </w:r>
      <w:r w:rsidR="00657E7F">
        <w:t>such a deal</w:t>
      </w:r>
      <w:r w:rsidR="00D2268E">
        <w:t xml:space="preserve">. </w:t>
      </w:r>
      <w:r w:rsidR="00776135">
        <w:t xml:space="preserve">This would also protect </w:t>
      </w:r>
      <w:r w:rsidR="00657E7F">
        <w:t>c</w:t>
      </w:r>
      <w:r w:rsidR="00776135">
        <w:t xml:space="preserve">laimants as the </w:t>
      </w:r>
      <w:r w:rsidR="00657E7F">
        <w:t>c</w:t>
      </w:r>
      <w:r w:rsidR="00776135">
        <w:t>ourt would not approve a</w:t>
      </w:r>
      <w:r w:rsidR="00786089">
        <w:t>n inadequate settlement</w:t>
      </w:r>
      <w:r w:rsidR="00715E61">
        <w:t xml:space="preserve">. </w:t>
      </w:r>
    </w:p>
    <w:p w14:paraId="3814FFCE" w14:textId="356BB5F5" w:rsidR="00585721" w:rsidRDefault="00657E7F" w:rsidP="00C0547D">
      <w:pPr>
        <w:jc w:val="both"/>
      </w:pPr>
      <w:r>
        <w:lastRenderedPageBreak/>
        <w:t>W</w:t>
      </w:r>
      <w:r w:rsidR="00BC3F9E">
        <w:t xml:space="preserve">e also </w:t>
      </w:r>
      <w:r w:rsidR="00431B6C">
        <w:t xml:space="preserve">recommend </w:t>
      </w:r>
      <w:r w:rsidR="00995453" w:rsidRPr="00995453">
        <w:t xml:space="preserve">codifying </w:t>
      </w:r>
      <w:r>
        <w:t xml:space="preserve">within Part 21 </w:t>
      </w:r>
      <w:r w:rsidR="00995453" w:rsidRPr="00995453">
        <w:t xml:space="preserve">the </w:t>
      </w:r>
      <w:r w:rsidR="00995453" w:rsidRPr="00431B6C">
        <w:rPr>
          <w:i/>
          <w:iCs/>
        </w:rPr>
        <w:t>Coles</w:t>
      </w:r>
      <w:r w:rsidR="0070257D" w:rsidRPr="00431B6C">
        <w:rPr>
          <w:i/>
          <w:iCs/>
        </w:rPr>
        <w:t xml:space="preserve"> </w:t>
      </w:r>
      <w:r w:rsidR="00995453" w:rsidRPr="00431B6C">
        <w:rPr>
          <w:i/>
          <w:iCs/>
        </w:rPr>
        <w:t>v</w:t>
      </w:r>
      <w:r w:rsidR="0070257D" w:rsidRPr="00431B6C">
        <w:rPr>
          <w:i/>
          <w:iCs/>
        </w:rPr>
        <w:t xml:space="preserve"> </w:t>
      </w:r>
      <w:r w:rsidR="00995453" w:rsidRPr="00431B6C">
        <w:rPr>
          <w:i/>
          <w:iCs/>
        </w:rPr>
        <w:t>Perfect</w:t>
      </w:r>
      <w:r w:rsidR="00D91F18">
        <w:rPr>
          <w:rStyle w:val="FootnoteReference"/>
          <w:i/>
          <w:iCs/>
        </w:rPr>
        <w:footnoteReference w:id="1"/>
      </w:r>
      <w:r w:rsidR="00D91F18">
        <w:rPr>
          <w:rStyle w:val="FootnoteReference"/>
          <w:i/>
          <w:iCs/>
        </w:rPr>
        <w:t xml:space="preserve"> </w:t>
      </w:r>
      <w:r w:rsidR="00995453" w:rsidRPr="00995453">
        <w:t>approval mechanism</w:t>
      </w:r>
      <w:r w:rsidR="00C87FFE">
        <w:t>. We believe that th</w:t>
      </w:r>
      <w:r w:rsidR="000D423A">
        <w:t xml:space="preserve">e current rules are </w:t>
      </w:r>
      <w:r w:rsidR="00995453" w:rsidRPr="00995453">
        <w:t xml:space="preserve">“all or nothing” </w:t>
      </w:r>
      <w:r w:rsidR="000D423A">
        <w:t>and fail</w:t>
      </w:r>
      <w:r w:rsidR="00995453" w:rsidRPr="00995453">
        <w:t xml:space="preserve"> to factor </w:t>
      </w:r>
      <w:r w:rsidR="00156D18">
        <w:t xml:space="preserve">in </w:t>
      </w:r>
      <w:r w:rsidR="000D423A">
        <w:t>c</w:t>
      </w:r>
      <w:r w:rsidR="00995453" w:rsidRPr="00995453">
        <w:t>laimants who</w:t>
      </w:r>
      <w:r w:rsidR="00211B3A">
        <w:t>se capacity to litigate</w:t>
      </w:r>
      <w:r w:rsidR="00995453" w:rsidRPr="00995453">
        <w:t xml:space="preserve"> </w:t>
      </w:r>
      <w:r w:rsidR="00171E8A">
        <w:t>is</w:t>
      </w:r>
      <w:r w:rsidR="00995453" w:rsidRPr="00995453">
        <w:t xml:space="preserve"> borderline.</w:t>
      </w:r>
      <w:r w:rsidR="00246329" w:rsidRPr="00246329">
        <w:t xml:space="preserve"> In </w:t>
      </w:r>
      <w:r w:rsidR="00246329" w:rsidRPr="00156D18">
        <w:rPr>
          <w:i/>
          <w:iCs/>
        </w:rPr>
        <w:t>Coles v Perfect</w:t>
      </w:r>
      <w:r w:rsidR="00246329" w:rsidRPr="00246329">
        <w:t>, the High Court considered whether it needed to determine that a party lacked capacity before it could validly approve a settlement agreement under CPR 21.10 in a claim for damages for personal injury.</w:t>
      </w:r>
      <w:r w:rsidR="00507E4C" w:rsidRPr="00507E4C">
        <w:t xml:space="preserve"> </w:t>
      </w:r>
      <w:r w:rsidR="00156D18">
        <w:t xml:space="preserve">It was decided that </w:t>
      </w:r>
      <w:r>
        <w:t>c</w:t>
      </w:r>
      <w:r w:rsidR="00507E4C" w:rsidRPr="00507E4C">
        <w:t>ourt approval of settlement remains valid even if a party is subsequently found to lack capacity</w:t>
      </w:r>
      <w:r w:rsidR="00BC09C9">
        <w:t>.</w:t>
      </w:r>
      <w:r w:rsidR="00BC09C9" w:rsidRPr="00BC09C9">
        <w:t xml:space="preserve"> </w:t>
      </w:r>
      <w:r w:rsidR="00BC09C9">
        <w:t>Th</w:t>
      </w:r>
      <w:r w:rsidR="00156D18">
        <w:t>is</w:t>
      </w:r>
      <w:r w:rsidR="00BC09C9">
        <w:t xml:space="preserve"> case modelled the approach of applying protectively for court approval when capacity might potentially be an issue.</w:t>
      </w:r>
    </w:p>
    <w:p w14:paraId="710C6889" w14:textId="77777777" w:rsidR="009B1D84" w:rsidRDefault="009B1D84" w:rsidP="00C0547D">
      <w:pPr>
        <w:jc w:val="both"/>
        <w:rPr>
          <w:b/>
          <w:bCs/>
        </w:rPr>
      </w:pPr>
    </w:p>
    <w:p w14:paraId="76BE41D5" w14:textId="51FCF9EA" w:rsidR="00156D18" w:rsidRPr="00257F7B" w:rsidRDefault="00657E7F" w:rsidP="00C0547D">
      <w:pPr>
        <w:jc w:val="both"/>
        <w:rPr>
          <w:b/>
          <w:bCs/>
        </w:rPr>
      </w:pPr>
      <w:r>
        <w:rPr>
          <w:b/>
          <w:bCs/>
        </w:rPr>
        <w:t>Comments on p</w:t>
      </w:r>
      <w:r w:rsidR="00156D18" w:rsidRPr="00257F7B">
        <w:rPr>
          <w:b/>
          <w:bCs/>
        </w:rPr>
        <w:t xml:space="preserve">roposed </w:t>
      </w:r>
      <w:r w:rsidR="00257F7B" w:rsidRPr="00257F7B">
        <w:rPr>
          <w:b/>
          <w:bCs/>
        </w:rPr>
        <w:t>changes</w:t>
      </w:r>
      <w:r>
        <w:rPr>
          <w:b/>
          <w:bCs/>
        </w:rPr>
        <w:t xml:space="preserve"> to CPR Part 21</w:t>
      </w:r>
      <w:r w:rsidR="00257F7B" w:rsidRPr="00257F7B">
        <w:rPr>
          <w:b/>
          <w:bCs/>
        </w:rPr>
        <w:t xml:space="preserve"> </w:t>
      </w:r>
    </w:p>
    <w:p w14:paraId="1E35C1AE" w14:textId="2894953D" w:rsidR="002E75D2" w:rsidRPr="009B1D84" w:rsidRDefault="00AF07FF" w:rsidP="00C0547D">
      <w:pPr>
        <w:jc w:val="both"/>
        <w:rPr>
          <w:u w:val="single"/>
        </w:rPr>
      </w:pPr>
      <w:r w:rsidRPr="009B1D84">
        <w:rPr>
          <w:u w:val="single"/>
        </w:rPr>
        <w:t xml:space="preserve">Requirement </w:t>
      </w:r>
      <w:r w:rsidR="00EC357D" w:rsidRPr="009B1D84">
        <w:rPr>
          <w:u w:val="single"/>
        </w:rPr>
        <w:t xml:space="preserve">for a litigation friend in proceedings by or against children and protected parties </w:t>
      </w:r>
    </w:p>
    <w:p w14:paraId="4EA1E0E5" w14:textId="02241F3C" w:rsidR="0015203E" w:rsidRPr="009B1D84" w:rsidRDefault="00C344D6" w:rsidP="00727BAB">
      <w:pPr>
        <w:rPr>
          <w:rFonts w:eastAsia="Times New Roman"/>
          <w:u w:val="single"/>
        </w:rPr>
      </w:pPr>
      <w:r w:rsidRPr="009B1D84">
        <w:rPr>
          <w:rFonts w:eastAsia="Times New Roman"/>
          <w:color w:val="000000"/>
          <w:u w:val="single"/>
          <w:shd w:val="clear" w:color="auto" w:fill="FFFFFF"/>
        </w:rPr>
        <w:t>21.2</w:t>
      </w:r>
    </w:p>
    <w:p w14:paraId="7D5551DC" w14:textId="11D9E955" w:rsidR="00497D56" w:rsidRDefault="00B93CB2" w:rsidP="00B93CB2">
      <w:pPr>
        <w:rPr>
          <w:rFonts w:eastAsia="Times New Roman"/>
        </w:rPr>
      </w:pPr>
      <w:r w:rsidRPr="00E671BC">
        <w:rPr>
          <w:rFonts w:eastAsia="Times New Roman"/>
          <w:b/>
          <w:bCs/>
        </w:rPr>
        <w:t>21.2</w:t>
      </w:r>
      <w:r w:rsidR="00E671BC" w:rsidRPr="00E671BC">
        <w:rPr>
          <w:rFonts w:eastAsia="Times New Roman"/>
          <w:b/>
          <w:bCs/>
        </w:rPr>
        <w:t xml:space="preserve"> (</w:t>
      </w:r>
      <w:r w:rsidR="0015203E" w:rsidRPr="00E671BC">
        <w:rPr>
          <w:rFonts w:eastAsia="Times New Roman"/>
          <w:b/>
          <w:bCs/>
        </w:rPr>
        <w:t>1)</w:t>
      </w:r>
      <w:r w:rsidR="00E671BC">
        <w:rPr>
          <w:rFonts w:eastAsia="Times New Roman"/>
          <w:b/>
          <w:bCs/>
        </w:rPr>
        <w:t xml:space="preserve"> </w:t>
      </w:r>
      <w:r w:rsidR="004B6754">
        <w:rPr>
          <w:rFonts w:eastAsia="Times New Roman"/>
          <w:b/>
          <w:bCs/>
        </w:rPr>
        <w:t>–</w:t>
      </w:r>
      <w:r w:rsidR="00E671BC">
        <w:rPr>
          <w:rFonts w:eastAsia="Times New Roman"/>
          <w:b/>
          <w:bCs/>
        </w:rPr>
        <w:t xml:space="preserve"> </w:t>
      </w:r>
      <w:r w:rsidR="00BA41F4">
        <w:rPr>
          <w:rFonts w:eastAsia="Times New Roman"/>
        </w:rPr>
        <w:t xml:space="preserve">We propose that the CPRC defines “proceedings”, </w:t>
      </w:r>
      <w:r w:rsidR="00497D56">
        <w:rPr>
          <w:rFonts w:eastAsia="Times New Roman"/>
        </w:rPr>
        <w:t xml:space="preserve">particularly </w:t>
      </w:r>
      <w:proofErr w:type="gramStart"/>
      <w:r w:rsidR="00497D56">
        <w:rPr>
          <w:rFonts w:eastAsia="Times New Roman"/>
        </w:rPr>
        <w:t>in light of</w:t>
      </w:r>
      <w:proofErr w:type="gramEnd"/>
      <w:r w:rsidR="00497D56">
        <w:rPr>
          <w:rFonts w:eastAsia="Times New Roman"/>
        </w:rPr>
        <w:t xml:space="preserve"> the decision in </w:t>
      </w:r>
      <w:proofErr w:type="spellStart"/>
      <w:r w:rsidR="00400A3B" w:rsidRPr="00400A3B">
        <w:rPr>
          <w:rFonts w:eastAsia="Times New Roman"/>
          <w:i/>
          <w:iCs/>
        </w:rPr>
        <w:t>Belsner</w:t>
      </w:r>
      <w:proofErr w:type="spellEnd"/>
      <w:r w:rsidR="00400A3B">
        <w:rPr>
          <w:rStyle w:val="FootnoteReference"/>
          <w:rFonts w:eastAsia="Times New Roman"/>
          <w:i/>
          <w:iCs/>
        </w:rPr>
        <w:footnoteReference w:id="2"/>
      </w:r>
      <w:r w:rsidR="00400A3B">
        <w:rPr>
          <w:rFonts w:eastAsia="Times New Roman"/>
        </w:rPr>
        <w:t xml:space="preserve">. </w:t>
      </w:r>
      <w:r w:rsidR="00497D56">
        <w:rPr>
          <w:rFonts w:eastAsia="Times New Roman"/>
        </w:rPr>
        <w:t xml:space="preserve">In </w:t>
      </w:r>
      <w:proofErr w:type="spellStart"/>
      <w:r w:rsidR="00497D56" w:rsidRPr="00497D56">
        <w:rPr>
          <w:rFonts w:eastAsia="Times New Roman"/>
          <w:i/>
          <w:iCs/>
        </w:rPr>
        <w:t>Belsner</w:t>
      </w:r>
      <w:proofErr w:type="spellEnd"/>
      <w:r w:rsidR="00497D56">
        <w:rPr>
          <w:rFonts w:eastAsia="Times New Roman"/>
        </w:rPr>
        <w:t xml:space="preserve"> it was held that pre-proceedings are not contentious. </w:t>
      </w:r>
      <w:r w:rsidR="00497D56" w:rsidRPr="00497D56">
        <w:rPr>
          <w:rFonts w:eastAsia="Times New Roman"/>
        </w:rPr>
        <w:t>Unless “proceedings” is defined within CPR 21</w:t>
      </w:r>
      <w:r w:rsidR="006F3659">
        <w:rPr>
          <w:rFonts w:eastAsia="Times New Roman"/>
        </w:rPr>
        <w:t xml:space="preserve"> to clearly include pre-issue steps</w:t>
      </w:r>
      <w:r w:rsidR="00497D56" w:rsidRPr="00497D56">
        <w:rPr>
          <w:rFonts w:eastAsia="Times New Roman"/>
        </w:rPr>
        <w:t xml:space="preserve">, the rules and </w:t>
      </w:r>
      <w:proofErr w:type="spellStart"/>
      <w:r w:rsidR="00497D56" w:rsidRPr="006F3659">
        <w:rPr>
          <w:rFonts w:eastAsia="Times New Roman"/>
          <w:i/>
          <w:iCs/>
        </w:rPr>
        <w:t>Belsner</w:t>
      </w:r>
      <w:proofErr w:type="spellEnd"/>
      <w:r w:rsidR="00497D56" w:rsidRPr="00497D56">
        <w:rPr>
          <w:rFonts w:eastAsia="Times New Roman"/>
        </w:rPr>
        <w:t xml:space="preserve"> could be read as meaning pre-issue cases which settle do not need to be approved which is clearly wrong. </w:t>
      </w:r>
    </w:p>
    <w:p w14:paraId="5E87781D" w14:textId="77777777" w:rsidR="00ED4373" w:rsidRDefault="00ED4373" w:rsidP="00B93CB2">
      <w:pPr>
        <w:rPr>
          <w:rFonts w:eastAsia="Times New Roman"/>
        </w:rPr>
      </w:pPr>
    </w:p>
    <w:p w14:paraId="4170D9E9" w14:textId="2068B034" w:rsidR="00ED4373" w:rsidRPr="009B1D84" w:rsidRDefault="00ED4373" w:rsidP="00B93CB2">
      <w:pPr>
        <w:rPr>
          <w:rFonts w:eastAsia="Times New Roman"/>
          <w:u w:val="single"/>
        </w:rPr>
      </w:pPr>
      <w:r w:rsidRPr="009B1D84">
        <w:rPr>
          <w:rFonts w:eastAsia="Times New Roman"/>
          <w:u w:val="single"/>
        </w:rPr>
        <w:t xml:space="preserve">How a person becomes a litigation friend without </w:t>
      </w:r>
      <w:r w:rsidR="007560D4" w:rsidRPr="009B1D84">
        <w:rPr>
          <w:rFonts w:eastAsia="Times New Roman"/>
          <w:u w:val="single"/>
        </w:rPr>
        <w:t xml:space="preserve">a </w:t>
      </w:r>
      <w:r w:rsidRPr="009B1D84">
        <w:rPr>
          <w:rFonts w:eastAsia="Times New Roman"/>
          <w:u w:val="single"/>
        </w:rPr>
        <w:t xml:space="preserve">court order </w:t>
      </w:r>
    </w:p>
    <w:p w14:paraId="028AF049" w14:textId="4E018FC3" w:rsidR="00ED4373" w:rsidRPr="009B1D84" w:rsidRDefault="00ED4373" w:rsidP="00B93CB2">
      <w:pPr>
        <w:rPr>
          <w:rFonts w:eastAsia="Times New Roman"/>
          <w:u w:val="single"/>
        </w:rPr>
      </w:pPr>
      <w:r w:rsidRPr="009B1D84">
        <w:rPr>
          <w:rFonts w:eastAsia="Times New Roman"/>
          <w:u w:val="single"/>
        </w:rPr>
        <w:t xml:space="preserve">21.5 </w:t>
      </w:r>
    </w:p>
    <w:p w14:paraId="2375CDEC" w14:textId="20C70A1F" w:rsidR="000508AE" w:rsidRDefault="00ED4373" w:rsidP="00992318">
      <w:pPr>
        <w:rPr>
          <w:rFonts w:eastAsia="Times New Roman"/>
        </w:rPr>
      </w:pPr>
      <w:r w:rsidRPr="007560D4">
        <w:rPr>
          <w:rFonts w:eastAsia="Times New Roman"/>
          <w:b/>
          <w:bCs/>
        </w:rPr>
        <w:t xml:space="preserve">21.5 </w:t>
      </w:r>
      <w:r w:rsidR="00992318" w:rsidRPr="007560D4">
        <w:rPr>
          <w:rFonts w:eastAsia="Times New Roman"/>
          <w:b/>
          <w:bCs/>
        </w:rPr>
        <w:t>(3) (a)</w:t>
      </w:r>
      <w:r w:rsidR="00992318">
        <w:rPr>
          <w:rFonts w:eastAsia="Times New Roman"/>
        </w:rPr>
        <w:t xml:space="preserve"> </w:t>
      </w:r>
      <w:r w:rsidR="00992318" w:rsidRPr="007560D4">
        <w:rPr>
          <w:rFonts w:eastAsia="Times New Roman"/>
          <w:b/>
          <w:bCs/>
        </w:rPr>
        <w:t>–</w:t>
      </w:r>
      <w:r w:rsidR="00992318">
        <w:rPr>
          <w:rFonts w:eastAsia="Times New Roman"/>
        </w:rPr>
        <w:t xml:space="preserve"> We believe that </w:t>
      </w:r>
      <w:r w:rsidR="00F54D14" w:rsidRPr="00F54D14">
        <w:rPr>
          <w:rFonts w:eastAsia="Times New Roman"/>
        </w:rPr>
        <w:t>“</w:t>
      </w:r>
      <w:r w:rsidR="00CC2C9A">
        <w:rPr>
          <w:rFonts w:eastAsia="Times New Roman"/>
        </w:rPr>
        <w:t>w</w:t>
      </w:r>
      <w:r w:rsidR="00F54D14" w:rsidRPr="00F54D14">
        <w:rPr>
          <w:rFonts w:eastAsia="Times New Roman"/>
        </w:rPr>
        <w:t>hen the claim is made” is ambiguous</w:t>
      </w:r>
      <w:r w:rsidR="00211B3A">
        <w:rPr>
          <w:rFonts w:eastAsia="Times New Roman"/>
        </w:rPr>
        <w:t xml:space="preserve"> and could be better defined</w:t>
      </w:r>
      <w:r w:rsidR="00F54D14" w:rsidRPr="00F54D14">
        <w:rPr>
          <w:rFonts w:eastAsia="Times New Roman"/>
        </w:rPr>
        <w:t xml:space="preserve">. At present, this is treated as when the </w:t>
      </w:r>
      <w:r w:rsidR="007D57A1">
        <w:rPr>
          <w:rFonts w:eastAsia="Times New Roman"/>
        </w:rPr>
        <w:t>c</w:t>
      </w:r>
      <w:r w:rsidR="00F54D14" w:rsidRPr="00F54D14">
        <w:rPr>
          <w:rFonts w:eastAsia="Times New Roman"/>
        </w:rPr>
        <w:t xml:space="preserve">laim </w:t>
      </w:r>
      <w:r w:rsidR="007D57A1">
        <w:rPr>
          <w:rFonts w:eastAsia="Times New Roman"/>
        </w:rPr>
        <w:t>f</w:t>
      </w:r>
      <w:r w:rsidR="00F54D14" w:rsidRPr="00F54D14">
        <w:rPr>
          <w:rFonts w:eastAsia="Times New Roman"/>
        </w:rPr>
        <w:t xml:space="preserve">orm is </w:t>
      </w:r>
      <w:r w:rsidR="007560D4">
        <w:rPr>
          <w:rFonts w:eastAsia="Times New Roman"/>
        </w:rPr>
        <w:t xml:space="preserve">issued, but </w:t>
      </w:r>
      <w:r w:rsidR="004A4C76">
        <w:rPr>
          <w:rFonts w:eastAsia="Times New Roman"/>
        </w:rPr>
        <w:t xml:space="preserve">it can be </w:t>
      </w:r>
      <w:r w:rsidR="00211B3A">
        <w:rPr>
          <w:rFonts w:eastAsia="Times New Roman"/>
        </w:rPr>
        <w:t xml:space="preserve">considered </w:t>
      </w:r>
      <w:r w:rsidR="004A4C76">
        <w:rPr>
          <w:rFonts w:eastAsia="Times New Roman"/>
        </w:rPr>
        <w:t>that</w:t>
      </w:r>
      <w:r w:rsidR="007D57A1">
        <w:rPr>
          <w:rFonts w:eastAsia="Times New Roman"/>
        </w:rPr>
        <w:t xml:space="preserve"> the claim is made</w:t>
      </w:r>
      <w:r w:rsidR="004A4C76">
        <w:rPr>
          <w:rFonts w:eastAsia="Times New Roman"/>
        </w:rPr>
        <w:t xml:space="preserve"> </w:t>
      </w:r>
      <w:r w:rsidR="00F54D14" w:rsidRPr="00F54D14">
        <w:rPr>
          <w:rFonts w:eastAsia="Times New Roman"/>
        </w:rPr>
        <w:t>when a party sends a letter before action. The word “file”</w:t>
      </w:r>
      <w:r w:rsidR="004A4C76">
        <w:rPr>
          <w:rFonts w:eastAsia="Times New Roman"/>
        </w:rPr>
        <w:t xml:space="preserve"> in the section</w:t>
      </w:r>
      <w:r w:rsidR="00F54D14" w:rsidRPr="00F54D14">
        <w:rPr>
          <w:rFonts w:eastAsia="Times New Roman"/>
        </w:rPr>
        <w:t xml:space="preserve"> indicates that it is when the </w:t>
      </w:r>
      <w:r w:rsidR="007D57A1">
        <w:rPr>
          <w:rFonts w:eastAsia="Times New Roman"/>
        </w:rPr>
        <w:t>c</w:t>
      </w:r>
      <w:r w:rsidR="00F54D14" w:rsidRPr="00F54D14">
        <w:rPr>
          <w:rFonts w:eastAsia="Times New Roman"/>
        </w:rPr>
        <w:t xml:space="preserve">laim </w:t>
      </w:r>
      <w:r w:rsidR="007D57A1">
        <w:rPr>
          <w:rFonts w:eastAsia="Times New Roman"/>
        </w:rPr>
        <w:t>f</w:t>
      </w:r>
      <w:r w:rsidR="00F54D14" w:rsidRPr="00F54D14">
        <w:rPr>
          <w:rFonts w:eastAsia="Times New Roman"/>
        </w:rPr>
        <w:t xml:space="preserve">orm is issued. This could, however, cause confusion on </w:t>
      </w:r>
      <w:r w:rsidR="007D57A1">
        <w:rPr>
          <w:rFonts w:eastAsia="Times New Roman"/>
        </w:rPr>
        <w:t>p</w:t>
      </w:r>
      <w:r w:rsidR="00F54D14" w:rsidRPr="00F54D14">
        <w:rPr>
          <w:rFonts w:eastAsia="Times New Roman"/>
        </w:rPr>
        <w:t>re-</w:t>
      </w:r>
      <w:r w:rsidR="007D57A1">
        <w:rPr>
          <w:rFonts w:eastAsia="Times New Roman"/>
        </w:rPr>
        <w:t>a</w:t>
      </w:r>
      <w:r w:rsidR="00F54D14" w:rsidRPr="00F54D14">
        <w:rPr>
          <w:rFonts w:eastAsia="Times New Roman"/>
        </w:rPr>
        <w:t xml:space="preserve">ction </w:t>
      </w:r>
      <w:r w:rsidR="007D57A1">
        <w:rPr>
          <w:rFonts w:eastAsia="Times New Roman"/>
        </w:rPr>
        <w:t>d</w:t>
      </w:r>
      <w:r w:rsidR="00F54D14" w:rsidRPr="00F54D14">
        <w:rPr>
          <w:rFonts w:eastAsia="Times New Roman"/>
        </w:rPr>
        <w:t xml:space="preserve">isclosure applications, for example, although in practice </w:t>
      </w:r>
      <w:r w:rsidR="007D57A1">
        <w:rPr>
          <w:rFonts w:eastAsia="Times New Roman"/>
        </w:rPr>
        <w:t>c</w:t>
      </w:r>
      <w:r w:rsidR="00F54D14" w:rsidRPr="00F54D14">
        <w:rPr>
          <w:rFonts w:eastAsia="Times New Roman"/>
        </w:rPr>
        <w:t>laimants file Certificates of Suitability at that stage.</w:t>
      </w:r>
    </w:p>
    <w:p w14:paraId="50B38C41" w14:textId="0EDBFFE9" w:rsidR="00BC7566" w:rsidRDefault="0015203E" w:rsidP="00BC7566">
      <w:pPr>
        <w:rPr>
          <w:rFonts w:eastAsia="Times New Roman"/>
        </w:rPr>
      </w:pPr>
      <w:r w:rsidRPr="007560D4">
        <w:rPr>
          <w:rFonts w:eastAsia="Times New Roman"/>
          <w:b/>
          <w:bCs/>
        </w:rPr>
        <w:t>21.5 (</w:t>
      </w:r>
      <w:r w:rsidR="00BA5A5C">
        <w:rPr>
          <w:rFonts w:eastAsia="Times New Roman"/>
          <w:b/>
          <w:bCs/>
        </w:rPr>
        <w:t>6</w:t>
      </w:r>
      <w:r w:rsidRPr="007560D4">
        <w:rPr>
          <w:rFonts w:eastAsia="Times New Roman"/>
          <w:b/>
          <w:bCs/>
        </w:rPr>
        <w:t>)</w:t>
      </w:r>
      <w:r w:rsidR="007560D4">
        <w:rPr>
          <w:rFonts w:eastAsia="Times New Roman"/>
          <w:b/>
          <w:bCs/>
        </w:rPr>
        <w:t xml:space="preserve"> – </w:t>
      </w:r>
      <w:r w:rsidR="00B43CB9">
        <w:rPr>
          <w:rFonts w:eastAsia="Times New Roman"/>
        </w:rPr>
        <w:t xml:space="preserve">We are concerned with the </w:t>
      </w:r>
      <w:r w:rsidR="00B43CB9" w:rsidRPr="00B43CB9">
        <w:rPr>
          <w:rFonts w:eastAsia="Times New Roman"/>
        </w:rPr>
        <w:t>practical effect</w:t>
      </w:r>
      <w:r w:rsidR="00B43CB9">
        <w:rPr>
          <w:rFonts w:eastAsia="Times New Roman"/>
        </w:rPr>
        <w:t xml:space="preserve"> of importing this part of the PD into the </w:t>
      </w:r>
      <w:r w:rsidR="00CA7B12">
        <w:rPr>
          <w:rFonts w:eastAsia="Times New Roman"/>
        </w:rPr>
        <w:t xml:space="preserve">rule. </w:t>
      </w:r>
      <w:r w:rsidR="00CA7B12" w:rsidRPr="00CA7B12">
        <w:rPr>
          <w:rFonts w:eastAsia="Times New Roman"/>
        </w:rPr>
        <w:t xml:space="preserve">In </w:t>
      </w:r>
      <w:r w:rsidR="00CA7B12" w:rsidRPr="009B1D84">
        <w:rPr>
          <w:rFonts w:eastAsia="Times New Roman"/>
          <w:i/>
          <w:iCs/>
        </w:rPr>
        <w:t>KU v LCC</w:t>
      </w:r>
      <w:r w:rsidR="009B1D84">
        <w:rPr>
          <w:rStyle w:val="FootnoteReference"/>
          <w:rFonts w:eastAsia="Times New Roman"/>
          <w:i/>
          <w:iCs/>
        </w:rPr>
        <w:footnoteReference w:id="3"/>
      </w:r>
      <w:r w:rsidR="00CA7B12" w:rsidRPr="00CA7B12">
        <w:rPr>
          <w:rFonts w:eastAsia="Times New Roman"/>
        </w:rPr>
        <w:t>, the Court of Appeal summarised the status of a PD. The provisions in a PD have no legislative force</w:t>
      </w:r>
      <w:r w:rsidR="009B1D84">
        <w:rPr>
          <w:rFonts w:eastAsia="Times New Roman"/>
        </w:rPr>
        <w:t xml:space="preserve"> – </w:t>
      </w:r>
      <w:r w:rsidR="007D57A1">
        <w:rPr>
          <w:rFonts w:eastAsia="Times New Roman"/>
        </w:rPr>
        <w:t>they</w:t>
      </w:r>
      <w:r w:rsidR="00CA7B12" w:rsidRPr="00CA7B12">
        <w:rPr>
          <w:rFonts w:eastAsia="Times New Roman"/>
        </w:rPr>
        <w:t xml:space="preserve"> </w:t>
      </w:r>
      <w:r w:rsidR="007D57A1">
        <w:rPr>
          <w:rFonts w:eastAsia="Times New Roman"/>
        </w:rPr>
        <w:t>are</w:t>
      </w:r>
      <w:r w:rsidR="00CA7B12" w:rsidRPr="00CA7B12">
        <w:rPr>
          <w:rFonts w:eastAsia="Times New Roman"/>
        </w:rPr>
        <w:t xml:space="preserve"> only meant to provide guidance to matters of practice in the civil courts.</w:t>
      </w:r>
      <w:r w:rsidR="00CA7B12">
        <w:rPr>
          <w:rFonts w:eastAsia="Times New Roman"/>
        </w:rPr>
        <w:t xml:space="preserve"> </w:t>
      </w:r>
      <w:r w:rsidR="00D67494">
        <w:rPr>
          <w:rFonts w:eastAsia="Times New Roman"/>
        </w:rPr>
        <w:t xml:space="preserve">Transferring </w:t>
      </w:r>
      <w:r w:rsidR="00522B32">
        <w:rPr>
          <w:rFonts w:eastAsia="Times New Roman"/>
        </w:rPr>
        <w:t>s2.2 c) of the PD</w:t>
      </w:r>
      <w:r w:rsidR="00D67494">
        <w:rPr>
          <w:rFonts w:eastAsia="Times New Roman"/>
        </w:rPr>
        <w:t xml:space="preserve"> into the rule makes the requirement to </w:t>
      </w:r>
      <w:r w:rsidR="00CE7689">
        <w:rPr>
          <w:rFonts w:eastAsia="Times New Roman"/>
        </w:rPr>
        <w:t xml:space="preserve">serve medical records </w:t>
      </w:r>
      <w:r w:rsidR="00932570">
        <w:rPr>
          <w:rFonts w:eastAsia="Times New Roman"/>
        </w:rPr>
        <w:t>(</w:t>
      </w:r>
      <w:r w:rsidR="002A27E8">
        <w:rPr>
          <w:rFonts w:eastAsia="Times New Roman"/>
        </w:rPr>
        <w:t xml:space="preserve">which was </w:t>
      </w:r>
      <w:r w:rsidR="00932570">
        <w:rPr>
          <w:rFonts w:eastAsia="Times New Roman"/>
        </w:rPr>
        <w:t xml:space="preserve">previously advisory) </w:t>
      </w:r>
      <w:r w:rsidR="00CE7689">
        <w:rPr>
          <w:rFonts w:eastAsia="Times New Roman"/>
        </w:rPr>
        <w:t xml:space="preserve">compulsory. </w:t>
      </w:r>
      <w:r w:rsidR="00932570">
        <w:rPr>
          <w:rFonts w:eastAsia="Times New Roman"/>
        </w:rPr>
        <w:t xml:space="preserve">This will have impacts in </w:t>
      </w:r>
      <w:proofErr w:type="gramStart"/>
      <w:r w:rsidR="00932570">
        <w:rPr>
          <w:rFonts w:eastAsia="Times New Roman"/>
        </w:rPr>
        <w:t>practice</w:t>
      </w:r>
      <w:proofErr w:type="gramEnd"/>
      <w:r w:rsidR="00932570">
        <w:rPr>
          <w:rFonts w:eastAsia="Times New Roman"/>
        </w:rPr>
        <w:t xml:space="preserve"> and </w:t>
      </w:r>
      <w:r w:rsidR="009B1D84">
        <w:rPr>
          <w:rFonts w:eastAsia="Times New Roman"/>
        </w:rPr>
        <w:t>we believe</w:t>
      </w:r>
      <w:r w:rsidR="00932570">
        <w:rPr>
          <w:rFonts w:eastAsia="Times New Roman"/>
        </w:rPr>
        <w:t xml:space="preserve"> that this could create</w:t>
      </w:r>
      <w:r w:rsidR="002A27E8">
        <w:rPr>
          <w:rFonts w:eastAsia="Times New Roman"/>
        </w:rPr>
        <w:t xml:space="preserve"> satellite</w:t>
      </w:r>
      <w:r w:rsidR="00932570">
        <w:rPr>
          <w:rFonts w:eastAsia="Times New Roman"/>
        </w:rPr>
        <w:t xml:space="preserve"> litigation in relation to </w:t>
      </w:r>
      <w:r w:rsidR="00BC7566" w:rsidRPr="007560D4">
        <w:rPr>
          <w:rFonts w:eastAsia="Times New Roman"/>
        </w:rPr>
        <w:t xml:space="preserve">litigation capacity (linked with capacity in relation to property and affairs) </w:t>
      </w:r>
      <w:r w:rsidR="00932570">
        <w:rPr>
          <w:rFonts w:eastAsia="Times New Roman"/>
        </w:rPr>
        <w:t xml:space="preserve">which </w:t>
      </w:r>
      <w:r w:rsidR="00BC7566" w:rsidRPr="007560D4">
        <w:rPr>
          <w:rFonts w:eastAsia="Times New Roman"/>
        </w:rPr>
        <w:t>can be a significant area of dispute.</w:t>
      </w:r>
      <w:r w:rsidR="00932570">
        <w:rPr>
          <w:rFonts w:eastAsia="Times New Roman"/>
        </w:rPr>
        <w:t xml:space="preserve"> </w:t>
      </w:r>
    </w:p>
    <w:p w14:paraId="74B90345" w14:textId="368F65F0" w:rsidR="005158F9" w:rsidRDefault="00932570" w:rsidP="007560D4">
      <w:r w:rsidRPr="007560D4">
        <w:rPr>
          <w:rFonts w:eastAsia="Times New Roman"/>
        </w:rPr>
        <w:t>The rule</w:t>
      </w:r>
      <w:r w:rsidR="006C1774">
        <w:rPr>
          <w:rFonts w:eastAsia="Times New Roman"/>
        </w:rPr>
        <w:t xml:space="preserve"> in relation to </w:t>
      </w:r>
      <w:r w:rsidR="00B95585">
        <w:rPr>
          <w:rFonts w:eastAsia="Times New Roman"/>
        </w:rPr>
        <w:t>lack of capacity</w:t>
      </w:r>
      <w:r w:rsidRPr="007560D4">
        <w:rPr>
          <w:rFonts w:eastAsia="Times New Roman"/>
        </w:rPr>
        <w:t xml:space="preserve"> should mirror </w:t>
      </w:r>
      <w:r w:rsidRPr="007560D4">
        <w:rPr>
          <w:rFonts w:eastAsia="Times New Roman"/>
          <w:i/>
          <w:iCs/>
        </w:rPr>
        <w:t xml:space="preserve">Folks v </w:t>
      </w:r>
      <w:proofErr w:type="spellStart"/>
      <w:r w:rsidRPr="007560D4">
        <w:rPr>
          <w:rFonts w:eastAsia="Times New Roman"/>
          <w:i/>
          <w:iCs/>
        </w:rPr>
        <w:t>Faizey</w:t>
      </w:r>
      <w:proofErr w:type="spellEnd"/>
      <w:r>
        <w:rPr>
          <w:rStyle w:val="FootnoteReference"/>
          <w:rFonts w:eastAsia="Times New Roman"/>
          <w:i/>
          <w:iCs/>
        </w:rPr>
        <w:footnoteReference w:id="4"/>
      </w:r>
      <w:r w:rsidR="00CB3D61">
        <w:rPr>
          <w:rFonts w:eastAsia="Times New Roman"/>
          <w:i/>
          <w:iCs/>
        </w:rPr>
        <w:t xml:space="preserve">. </w:t>
      </w:r>
      <w:r w:rsidR="00CB3D61">
        <w:rPr>
          <w:rFonts w:eastAsia="Times New Roman"/>
        </w:rPr>
        <w:t>In this case, the Court of Appeal</w:t>
      </w:r>
      <w:r w:rsidR="00E1283F">
        <w:rPr>
          <w:rFonts w:eastAsia="Times New Roman"/>
        </w:rPr>
        <w:t xml:space="preserve"> </w:t>
      </w:r>
      <w:r w:rsidR="00934F50">
        <w:rPr>
          <w:rFonts w:eastAsia="Times New Roman"/>
        </w:rPr>
        <w:t xml:space="preserve">followed the approach in </w:t>
      </w:r>
      <w:proofErr w:type="spellStart"/>
      <w:r w:rsidR="00934F50" w:rsidRPr="00934F50">
        <w:rPr>
          <w:rFonts w:eastAsia="Times New Roman"/>
          <w:i/>
          <w:iCs/>
        </w:rPr>
        <w:t>Masterman</w:t>
      </w:r>
      <w:proofErr w:type="spellEnd"/>
      <w:r w:rsidR="00934F50" w:rsidRPr="00934F50">
        <w:rPr>
          <w:rFonts w:eastAsia="Times New Roman"/>
          <w:i/>
          <w:iCs/>
        </w:rPr>
        <w:t>-Lister</w:t>
      </w:r>
      <w:r w:rsidR="00934F50">
        <w:rPr>
          <w:rStyle w:val="FootnoteReference"/>
          <w:rFonts w:eastAsia="Times New Roman"/>
          <w:i/>
          <w:iCs/>
        </w:rPr>
        <w:footnoteReference w:id="5"/>
      </w:r>
      <w:r w:rsidR="00AC62E4">
        <w:rPr>
          <w:rFonts w:eastAsia="Times New Roman"/>
          <w:i/>
          <w:iCs/>
        </w:rPr>
        <w:t xml:space="preserve"> </w:t>
      </w:r>
      <w:r w:rsidR="00AC62E4">
        <w:rPr>
          <w:rFonts w:eastAsia="Times New Roman"/>
        </w:rPr>
        <w:t xml:space="preserve">and decided that </w:t>
      </w:r>
      <w:r w:rsidR="005E29FC" w:rsidRPr="005E29FC">
        <w:rPr>
          <w:rFonts w:eastAsia="Times New Roman"/>
        </w:rPr>
        <w:t>the rules as to capacity are not designed to provide a vehicle for reopening litigation which, having been properly conducted</w:t>
      </w:r>
      <w:r w:rsidR="002A27E8">
        <w:rPr>
          <w:rFonts w:eastAsia="Times New Roman"/>
        </w:rPr>
        <w:t>,</w:t>
      </w:r>
      <w:r w:rsidR="005E29FC" w:rsidRPr="005E29FC">
        <w:rPr>
          <w:rFonts w:eastAsia="Times New Roman"/>
        </w:rPr>
        <w:t xml:space="preserve"> </w:t>
      </w:r>
      <w:r w:rsidR="00D46326">
        <w:rPr>
          <w:rFonts w:eastAsia="Times New Roman"/>
        </w:rPr>
        <w:t xml:space="preserve">had </w:t>
      </w:r>
      <w:r w:rsidR="005E29FC" w:rsidRPr="005E29FC">
        <w:rPr>
          <w:rFonts w:eastAsia="Times New Roman"/>
        </w:rPr>
        <w:t xml:space="preserve">for long been </w:t>
      </w:r>
      <w:r w:rsidR="00D46326">
        <w:rPr>
          <w:rFonts w:eastAsia="Times New Roman"/>
        </w:rPr>
        <w:t>settled</w:t>
      </w:r>
      <w:r w:rsidR="00EC7DF6">
        <w:rPr>
          <w:rFonts w:eastAsia="Times New Roman"/>
        </w:rPr>
        <w:t xml:space="preserve">. </w:t>
      </w:r>
      <w:r w:rsidR="00D46326">
        <w:t>T</w:t>
      </w:r>
      <w:r w:rsidR="00EC7DF6">
        <w:t xml:space="preserve">he application to appoint a litigation friend </w:t>
      </w:r>
      <w:r w:rsidR="00197DF9">
        <w:t xml:space="preserve">is </w:t>
      </w:r>
      <w:r w:rsidR="00197DF9">
        <w:lastRenderedPageBreak/>
        <w:t xml:space="preserve">a matter for the </w:t>
      </w:r>
      <w:r w:rsidR="00F27CDA">
        <w:t xml:space="preserve">party himself to determine, </w:t>
      </w:r>
      <w:r w:rsidR="006C1774">
        <w:t>often with</w:t>
      </w:r>
      <w:r w:rsidR="00F27CDA">
        <w:t xml:space="preserve"> the advice of a solicitor </w:t>
      </w:r>
      <w:r w:rsidR="00BE49D4">
        <w:t>but without the need for enquiry by the court.</w:t>
      </w:r>
      <w:r w:rsidR="00AB0B2A">
        <w:t xml:space="preserve"> </w:t>
      </w:r>
    </w:p>
    <w:p w14:paraId="2AF1DE80" w14:textId="65495CDD" w:rsidR="007560D4" w:rsidRDefault="005158F9" w:rsidP="007560D4">
      <w:r>
        <w:t xml:space="preserve">Further, </w:t>
      </w:r>
      <w:r w:rsidR="0060124F">
        <w:t xml:space="preserve">the need to serve evidence to establish capacity </w:t>
      </w:r>
      <w:r>
        <w:t xml:space="preserve">will cause the claimant undue delay and expense, as it can be hard to obtain </w:t>
      </w:r>
      <w:r w:rsidR="00140B19">
        <w:t>an expert’s</w:t>
      </w:r>
      <w:r w:rsidR="000140D1">
        <w:t xml:space="preserve"> report. </w:t>
      </w:r>
      <w:r w:rsidR="00C12093">
        <w:t xml:space="preserve">It can take up to 12 months or more </w:t>
      </w:r>
      <w:r w:rsidR="00DC66C7">
        <w:t>to obtain a report</w:t>
      </w:r>
      <w:r w:rsidR="00AF4A97">
        <w:t xml:space="preserve">. </w:t>
      </w:r>
      <w:r w:rsidR="000B0CFF">
        <w:t xml:space="preserve">We suggest that </w:t>
      </w:r>
      <w:r w:rsidR="00FE41BE">
        <w:t xml:space="preserve">establishing capacity should be based on the common sense of the party, its </w:t>
      </w:r>
      <w:proofErr w:type="gramStart"/>
      <w:r w:rsidR="00252AAD">
        <w:t>family</w:t>
      </w:r>
      <w:proofErr w:type="gramEnd"/>
      <w:r w:rsidR="00FE41BE">
        <w:t xml:space="preserve"> and solicitors</w:t>
      </w:r>
      <w:r w:rsidR="00252AAD">
        <w:t xml:space="preserve"> and</w:t>
      </w:r>
      <w:r w:rsidR="00616475">
        <w:t xml:space="preserve">, as such, it should be enough to serve a declaration supported by a statement of </w:t>
      </w:r>
      <w:r w:rsidR="00A42508">
        <w:t xml:space="preserve">truth, where the claimant consents. </w:t>
      </w:r>
      <w:r w:rsidR="00616475">
        <w:t xml:space="preserve"> </w:t>
      </w:r>
    </w:p>
    <w:p w14:paraId="6B43A7C6" w14:textId="4E4D43C3" w:rsidR="002352B8" w:rsidRDefault="00E162CC" w:rsidP="007560D4">
      <w:r>
        <w:t xml:space="preserve">We believe </w:t>
      </w:r>
      <w:r w:rsidR="009B341A">
        <w:t xml:space="preserve">that this requirement is quite </w:t>
      </w:r>
      <w:r w:rsidR="00536191" w:rsidRPr="00536191">
        <w:t>onerous</w:t>
      </w:r>
      <w:r w:rsidR="00536191">
        <w:t xml:space="preserve"> for the claimant and </w:t>
      </w:r>
      <w:r w:rsidR="002267FA">
        <w:t xml:space="preserve">gives defendants the possibility to challenge and create difficulties </w:t>
      </w:r>
      <w:r w:rsidR="001E428D" w:rsidRPr="001E428D">
        <w:t>in relation to litigation</w:t>
      </w:r>
      <w:r w:rsidR="00522B32">
        <w:t xml:space="preserve"> and financial</w:t>
      </w:r>
      <w:r w:rsidR="001E428D" w:rsidRPr="001E428D">
        <w:t xml:space="preserve"> capacity</w:t>
      </w:r>
      <w:r w:rsidR="001E428D">
        <w:t xml:space="preserve">. </w:t>
      </w:r>
    </w:p>
    <w:p w14:paraId="00E69AA8" w14:textId="2056E3EB" w:rsidR="003F0547" w:rsidRDefault="003F0547" w:rsidP="003F0547">
      <w:pPr>
        <w:rPr>
          <w:rFonts w:eastAsia="Times New Roman"/>
        </w:rPr>
      </w:pPr>
    </w:p>
    <w:p w14:paraId="283D3AE6" w14:textId="25FE5A4E" w:rsidR="00AD0238" w:rsidRPr="00B36257" w:rsidRDefault="00EE5F76" w:rsidP="003F0547">
      <w:pPr>
        <w:rPr>
          <w:rFonts w:eastAsia="Times New Roman"/>
          <w:u w:val="single"/>
        </w:rPr>
      </w:pPr>
      <w:r w:rsidRPr="00B36257">
        <w:rPr>
          <w:rFonts w:eastAsia="Times New Roman"/>
          <w:u w:val="single"/>
        </w:rPr>
        <w:t xml:space="preserve">Appointment </w:t>
      </w:r>
      <w:r w:rsidR="00AD0238" w:rsidRPr="00B36257">
        <w:rPr>
          <w:rFonts w:eastAsia="Times New Roman"/>
          <w:u w:val="single"/>
        </w:rPr>
        <w:t xml:space="preserve">of a litigation friend by court order – supplementary </w:t>
      </w:r>
    </w:p>
    <w:p w14:paraId="3670F6E4" w14:textId="6AF7DC5D" w:rsidR="0015203E" w:rsidRPr="00EE5F76" w:rsidRDefault="0015203E" w:rsidP="00EE5F76">
      <w:pPr>
        <w:rPr>
          <w:rFonts w:eastAsia="Times New Roman"/>
        </w:rPr>
      </w:pPr>
      <w:r w:rsidRPr="00AD0238">
        <w:rPr>
          <w:rFonts w:eastAsia="Times New Roman"/>
          <w:b/>
          <w:bCs/>
        </w:rPr>
        <w:t>21.8 –</w:t>
      </w:r>
      <w:r w:rsidRPr="00EE5F76">
        <w:rPr>
          <w:rFonts w:eastAsia="Times New Roman"/>
        </w:rPr>
        <w:t xml:space="preserve"> </w:t>
      </w:r>
      <w:r w:rsidR="00AD0238">
        <w:rPr>
          <w:rFonts w:eastAsia="Times New Roman"/>
        </w:rPr>
        <w:t>We</w:t>
      </w:r>
      <w:r w:rsidRPr="00EE5F76">
        <w:rPr>
          <w:rFonts w:eastAsia="Times New Roman"/>
        </w:rPr>
        <w:t xml:space="preserve"> </w:t>
      </w:r>
      <w:r w:rsidR="00AD0238">
        <w:rPr>
          <w:rFonts w:eastAsia="Times New Roman"/>
        </w:rPr>
        <w:t>believe</w:t>
      </w:r>
      <w:r w:rsidRPr="00EE5F76">
        <w:rPr>
          <w:rFonts w:eastAsia="Times New Roman"/>
        </w:rPr>
        <w:t xml:space="preserve"> </w:t>
      </w:r>
      <w:r w:rsidR="00AD0238">
        <w:rPr>
          <w:rFonts w:eastAsia="Times New Roman"/>
        </w:rPr>
        <w:t xml:space="preserve">that </w:t>
      </w:r>
      <w:r w:rsidRPr="00EE5F76">
        <w:rPr>
          <w:rFonts w:eastAsia="Times New Roman"/>
        </w:rPr>
        <w:t xml:space="preserve">the Deputy and Power of Attorney, if applicable, should be served too. </w:t>
      </w:r>
    </w:p>
    <w:p w14:paraId="4EC5ABED" w14:textId="43D77808" w:rsidR="00AD0238" w:rsidRDefault="00AD0238" w:rsidP="00AD0238">
      <w:pPr>
        <w:rPr>
          <w:rFonts w:eastAsia="Times New Roman"/>
        </w:rPr>
      </w:pPr>
    </w:p>
    <w:p w14:paraId="3C24AB6A" w14:textId="42F2E37D" w:rsidR="00AD0238" w:rsidRPr="00B36257" w:rsidRDefault="006A1358" w:rsidP="00AD0238">
      <w:pPr>
        <w:rPr>
          <w:rFonts w:eastAsia="Times New Roman"/>
          <w:u w:val="single"/>
        </w:rPr>
      </w:pPr>
      <w:r w:rsidRPr="00B36257">
        <w:rPr>
          <w:rFonts w:eastAsia="Times New Roman"/>
          <w:u w:val="single"/>
        </w:rPr>
        <w:t xml:space="preserve">Compromise etc. by or on behalf of a child or protected party </w:t>
      </w:r>
    </w:p>
    <w:p w14:paraId="4006B1FD" w14:textId="7D2FDEA0" w:rsidR="00761834" w:rsidRDefault="00761834" w:rsidP="00AD023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21.10 </w:t>
      </w:r>
    </w:p>
    <w:p w14:paraId="307C9611" w14:textId="619431B5" w:rsidR="00761834" w:rsidRPr="00A55322" w:rsidRDefault="00761834" w:rsidP="00AD0238">
      <w:pPr>
        <w:rPr>
          <w:rFonts w:eastAsia="Times New Roman"/>
        </w:rPr>
      </w:pPr>
      <w:r>
        <w:rPr>
          <w:rFonts w:eastAsia="Times New Roman"/>
        </w:rPr>
        <w:t xml:space="preserve">There is an inconsistent approach to </w:t>
      </w:r>
      <w:r w:rsidR="00276692">
        <w:rPr>
          <w:rFonts w:eastAsia="Times New Roman"/>
        </w:rPr>
        <w:t xml:space="preserve">court approval where there are interim payments. Some take the view that any sum needs approval, whereas others </w:t>
      </w:r>
      <w:r w:rsidR="00A55322">
        <w:rPr>
          <w:rFonts w:eastAsia="Times New Roman"/>
        </w:rPr>
        <w:t xml:space="preserve">take the approach that if the interim payment is over £100,000 </w:t>
      </w:r>
      <w:r w:rsidR="00A55322" w:rsidRPr="001524E9">
        <w:rPr>
          <w:rFonts w:eastAsia="Times New Roman"/>
        </w:rPr>
        <w:t xml:space="preserve">or £250,000 </w:t>
      </w:r>
      <w:r w:rsidR="00A55322">
        <w:rPr>
          <w:rFonts w:eastAsia="Times New Roman"/>
        </w:rPr>
        <w:t>the case should be issued</w:t>
      </w:r>
      <w:r w:rsidR="007142AF">
        <w:rPr>
          <w:rFonts w:eastAsia="Times New Roman"/>
        </w:rPr>
        <w:t>,</w:t>
      </w:r>
      <w:r w:rsidR="00A55322">
        <w:rPr>
          <w:rFonts w:eastAsia="Times New Roman"/>
        </w:rPr>
        <w:t xml:space="preserve"> which means that in a child’s case, the case is issued extremely early in order to obtain approval. </w:t>
      </w:r>
      <w:r w:rsidRPr="001524E9">
        <w:rPr>
          <w:rFonts w:eastAsia="Times New Roman"/>
        </w:rPr>
        <w:t xml:space="preserve">This increases the pressure on the </w:t>
      </w:r>
      <w:r w:rsidR="00F47B8B">
        <w:rPr>
          <w:rFonts w:eastAsia="Times New Roman"/>
        </w:rPr>
        <w:t>c</w:t>
      </w:r>
      <w:r w:rsidRPr="001524E9">
        <w:rPr>
          <w:rFonts w:eastAsia="Times New Roman"/>
        </w:rPr>
        <w:t>ourt’s time.</w:t>
      </w:r>
      <w:r w:rsidR="00A55322">
        <w:rPr>
          <w:rFonts w:eastAsia="Times New Roman"/>
        </w:rPr>
        <w:t xml:space="preserve"> There should be an amendment to 21.10 </w:t>
      </w:r>
      <w:r w:rsidR="00F47B8B">
        <w:rPr>
          <w:rFonts w:eastAsia="Times New Roman"/>
        </w:rPr>
        <w:t xml:space="preserve">that any interim payment requires court approval. </w:t>
      </w:r>
    </w:p>
    <w:p w14:paraId="2480E787" w14:textId="4F0914CC" w:rsidR="0015203E" w:rsidRDefault="0015203E" w:rsidP="00AD0238">
      <w:pPr>
        <w:rPr>
          <w:rFonts w:eastAsia="Times New Roman"/>
        </w:rPr>
      </w:pPr>
      <w:r w:rsidRPr="00A117E5">
        <w:rPr>
          <w:rFonts w:eastAsia="Times New Roman"/>
          <w:b/>
          <w:bCs/>
        </w:rPr>
        <w:t>21.10 (2) (f) –</w:t>
      </w:r>
      <w:r w:rsidRPr="00AD0238">
        <w:rPr>
          <w:rFonts w:eastAsia="Times New Roman"/>
        </w:rPr>
        <w:t xml:space="preserve"> </w:t>
      </w:r>
      <w:r w:rsidR="007142AF">
        <w:rPr>
          <w:rFonts w:eastAsia="Times New Roman"/>
        </w:rPr>
        <w:t>This s</w:t>
      </w:r>
      <w:r w:rsidRPr="00AD0238">
        <w:rPr>
          <w:rFonts w:eastAsia="Times New Roman"/>
        </w:rPr>
        <w:t xml:space="preserve">hould be wider than “accident” to cover illness and intentional act (abuse) cases. </w:t>
      </w:r>
    </w:p>
    <w:p w14:paraId="5DAB62BB" w14:textId="77777777" w:rsidR="002F7132" w:rsidRDefault="002F7132" w:rsidP="00AD0238">
      <w:pPr>
        <w:rPr>
          <w:rFonts w:eastAsia="Times New Roman"/>
        </w:rPr>
      </w:pPr>
    </w:p>
    <w:p w14:paraId="1127CC6F" w14:textId="3A7D11BE" w:rsidR="001524E9" w:rsidRPr="00B36257" w:rsidRDefault="002F7132" w:rsidP="00AD0238">
      <w:pPr>
        <w:rPr>
          <w:rFonts w:eastAsia="Times New Roman"/>
          <w:u w:val="single"/>
        </w:rPr>
      </w:pPr>
      <w:r w:rsidRPr="00B36257">
        <w:rPr>
          <w:rFonts w:eastAsia="Times New Roman"/>
          <w:u w:val="single"/>
        </w:rPr>
        <w:t>Control of money recovered by or on behalf of a child or protected party</w:t>
      </w:r>
    </w:p>
    <w:p w14:paraId="7D30FDA0" w14:textId="35545881" w:rsidR="009F4958" w:rsidRDefault="00465086" w:rsidP="00C0547D">
      <w:r w:rsidRPr="00465086">
        <w:rPr>
          <w:b/>
          <w:bCs/>
        </w:rPr>
        <w:t>21.11 (9) (a)</w:t>
      </w:r>
      <w:r w:rsidRPr="00465086">
        <w:t xml:space="preserve"> – £100,000 is a very significant sum. </w:t>
      </w:r>
      <w:r w:rsidR="004A27C9">
        <w:t>If the threshold is increased to</w:t>
      </w:r>
      <w:r w:rsidR="002922AF">
        <w:t xml:space="preserve"> </w:t>
      </w:r>
      <w:r w:rsidR="002922AF">
        <w:rPr>
          <w:color w:val="000000"/>
        </w:rPr>
        <w:t xml:space="preserve">£100,000, fewer </w:t>
      </w:r>
      <w:r w:rsidR="00F44374">
        <w:rPr>
          <w:color w:val="000000"/>
        </w:rPr>
        <w:t>c</w:t>
      </w:r>
      <w:r w:rsidR="002922AF">
        <w:rPr>
          <w:color w:val="000000"/>
        </w:rPr>
        <w:t xml:space="preserve">laimants </w:t>
      </w:r>
      <w:r w:rsidR="00F44374">
        <w:rPr>
          <w:color w:val="000000"/>
        </w:rPr>
        <w:t xml:space="preserve">will be entitled to apply to the Court of Protection </w:t>
      </w:r>
      <w:r w:rsidR="00B2360F">
        <w:rPr>
          <w:color w:val="000000"/>
        </w:rPr>
        <w:t xml:space="preserve">for the appointment of a deputy. Consequently, </w:t>
      </w:r>
      <w:r w:rsidR="0067600F">
        <w:rPr>
          <w:color w:val="000000"/>
        </w:rPr>
        <w:t>more claimants will</w:t>
      </w:r>
      <w:r w:rsidR="002922AF">
        <w:rPr>
          <w:color w:val="000000"/>
        </w:rPr>
        <w:t xml:space="preserve"> </w:t>
      </w:r>
      <w:r w:rsidR="0067600F">
        <w:rPr>
          <w:color w:val="000000"/>
        </w:rPr>
        <w:t xml:space="preserve">need to apply to the Court Funds Office (either by themselves with the help </w:t>
      </w:r>
      <w:r w:rsidR="0088307B">
        <w:rPr>
          <w:color w:val="000000"/>
        </w:rPr>
        <w:t xml:space="preserve">of </w:t>
      </w:r>
      <w:r w:rsidR="0067600F">
        <w:rPr>
          <w:color w:val="000000"/>
        </w:rPr>
        <w:t xml:space="preserve">a litigation friend or </w:t>
      </w:r>
      <w:r w:rsidR="0088307B">
        <w:rPr>
          <w:color w:val="000000"/>
        </w:rPr>
        <w:t>solicitor</w:t>
      </w:r>
      <w:r w:rsidR="0067600F">
        <w:rPr>
          <w:color w:val="000000"/>
        </w:rPr>
        <w:t xml:space="preserve">). We believe that </w:t>
      </w:r>
      <w:r w:rsidR="00C73F1A">
        <w:rPr>
          <w:color w:val="000000"/>
        </w:rPr>
        <w:t xml:space="preserve">an impact assessment should be carried out </w:t>
      </w:r>
      <w:r w:rsidR="00C017BC">
        <w:t xml:space="preserve">given that the court would struggle to </w:t>
      </w:r>
      <w:r w:rsidRPr="00465086">
        <w:t xml:space="preserve">cope with a significant increase in </w:t>
      </w:r>
      <w:r w:rsidR="00906FFE">
        <w:t>c</w:t>
      </w:r>
      <w:r w:rsidRPr="00465086">
        <w:t xml:space="preserve">laimants seeking damages from the Court Funds Office on an ongoing basis. </w:t>
      </w:r>
    </w:p>
    <w:p w14:paraId="7A000AF0" w14:textId="1C2FCE27" w:rsidR="00776DDC" w:rsidRDefault="00465086">
      <w:r w:rsidRPr="00B1044C">
        <w:rPr>
          <w:b/>
          <w:bCs/>
        </w:rPr>
        <w:t>21.11 (1) –</w:t>
      </w:r>
      <w:r w:rsidRPr="00465086">
        <w:t xml:space="preserve"> </w:t>
      </w:r>
      <w:r w:rsidR="00906FFE">
        <w:t xml:space="preserve">We believe that the </w:t>
      </w:r>
      <w:r w:rsidR="00B1044C">
        <w:t xml:space="preserve">disabled claimant should not be required to pay these costs. </w:t>
      </w:r>
      <w:r w:rsidRPr="00465086">
        <w:t>It is discriminatory</w:t>
      </w:r>
      <w:r w:rsidR="00C017BC">
        <w:t>,</w:t>
      </w:r>
      <w:r w:rsidRPr="00465086">
        <w:t xml:space="preserve"> particularly in a fixed recoverable costs regime.</w:t>
      </w:r>
    </w:p>
    <w:p w14:paraId="45421537" w14:textId="30746825" w:rsidR="00C114D8" w:rsidRDefault="00C114D8"/>
    <w:p w14:paraId="7CCC26D5" w14:textId="77777777" w:rsidR="00DD21BF" w:rsidRDefault="00DD21BF"/>
    <w:p w14:paraId="5C77A4EA" w14:textId="77777777" w:rsidR="00C114D8" w:rsidRDefault="00C114D8" w:rsidP="00C114D8">
      <w:r>
        <w:t xml:space="preserve">We hope that our comments prove useful. If you have any queries about our response, please contact Ana Ramos, Legal Affairs Assistant, on the contact information below, in the first instance. </w:t>
      </w:r>
    </w:p>
    <w:p w14:paraId="0CA66A2F" w14:textId="77777777" w:rsidR="00130208" w:rsidRDefault="00130208" w:rsidP="001243CC"/>
    <w:p w14:paraId="3AA94B4E" w14:textId="3A2B5D03" w:rsidR="001243CC" w:rsidRDefault="001243CC" w:rsidP="001243CC">
      <w:r>
        <w:lastRenderedPageBreak/>
        <w:t xml:space="preserve">Yours faithfully, </w:t>
      </w:r>
    </w:p>
    <w:p w14:paraId="0BBABC11" w14:textId="7AC397EA" w:rsidR="001243CC" w:rsidRDefault="00C53E66" w:rsidP="001243CC">
      <w:r>
        <w:rPr>
          <w:noProof/>
        </w:rPr>
        <w:drawing>
          <wp:anchor distT="0" distB="0" distL="114300" distR="114300" simplePos="0" relativeHeight="251662336" behindDoc="0" locked="0" layoutInCell="1" allowOverlap="1" wp14:anchorId="6E4A713F" wp14:editId="6EBFE416">
            <wp:simplePos x="0" y="0"/>
            <wp:positionH relativeFrom="margin">
              <wp:align>left</wp:align>
            </wp:positionH>
            <wp:positionV relativeFrom="paragraph">
              <wp:posOffset>80608</wp:posOffset>
            </wp:positionV>
            <wp:extent cx="1476375" cy="842645"/>
            <wp:effectExtent l="0" t="0" r="9525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93" t="33590" r="45615" b="50976"/>
                    <a:stretch/>
                  </pic:blipFill>
                  <pic:spPr bwMode="auto">
                    <a:xfrm>
                      <a:off x="0" y="0"/>
                      <a:ext cx="1476375" cy="84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D8BA8" w14:textId="77777777" w:rsidR="001243CC" w:rsidRDefault="001243CC" w:rsidP="001243CC"/>
    <w:p w14:paraId="09735758" w14:textId="77777777" w:rsidR="001243CC" w:rsidRDefault="001243CC" w:rsidP="001243CC"/>
    <w:p w14:paraId="28EA7DFF" w14:textId="77777777" w:rsidR="001243CC" w:rsidRDefault="001243CC" w:rsidP="001243CC"/>
    <w:p w14:paraId="46F06DDD" w14:textId="77777777" w:rsidR="001243CC" w:rsidRDefault="001243CC" w:rsidP="001243CC">
      <w:r>
        <w:t xml:space="preserve">Ana Ramos </w:t>
      </w:r>
    </w:p>
    <w:p w14:paraId="10B3830A" w14:textId="77777777" w:rsidR="001243CC" w:rsidRDefault="001243CC" w:rsidP="001243CC">
      <w:r>
        <w:t xml:space="preserve">Legal Affairs Assistant </w:t>
      </w:r>
    </w:p>
    <w:p w14:paraId="51B6E29C" w14:textId="77777777" w:rsidR="001243CC" w:rsidRPr="00C06D13" w:rsidRDefault="001243CC" w:rsidP="001243CC">
      <w:r>
        <w:t xml:space="preserve">Association of Personal Injury Lawyers </w:t>
      </w:r>
    </w:p>
    <w:p w14:paraId="2CF6F4FC" w14:textId="77777777" w:rsidR="003C6791" w:rsidRDefault="003C6791"/>
    <w:sectPr w:rsidR="003C6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C985" w14:textId="77777777" w:rsidR="0025470F" w:rsidRDefault="0025470F" w:rsidP="00431B6C">
      <w:pPr>
        <w:spacing w:after="0" w:line="240" w:lineRule="auto"/>
      </w:pPr>
      <w:r>
        <w:separator/>
      </w:r>
    </w:p>
  </w:endnote>
  <w:endnote w:type="continuationSeparator" w:id="0">
    <w:p w14:paraId="08A754C7" w14:textId="77777777" w:rsidR="0025470F" w:rsidRDefault="0025470F" w:rsidP="0043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2D7D" w14:textId="77777777" w:rsidR="0025470F" w:rsidRDefault="0025470F" w:rsidP="00431B6C">
      <w:pPr>
        <w:spacing w:after="0" w:line="240" w:lineRule="auto"/>
      </w:pPr>
      <w:r>
        <w:separator/>
      </w:r>
    </w:p>
  </w:footnote>
  <w:footnote w:type="continuationSeparator" w:id="0">
    <w:p w14:paraId="1705C618" w14:textId="77777777" w:rsidR="0025470F" w:rsidRDefault="0025470F" w:rsidP="00431B6C">
      <w:pPr>
        <w:spacing w:after="0" w:line="240" w:lineRule="auto"/>
      </w:pPr>
      <w:r>
        <w:continuationSeparator/>
      </w:r>
    </w:p>
  </w:footnote>
  <w:footnote w:id="1">
    <w:p w14:paraId="2EF6D538" w14:textId="633FC9CC" w:rsidR="00D91F18" w:rsidRDefault="00D91F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95453">
        <w:t>[2013] EWHC 1955 (QB)</w:t>
      </w:r>
    </w:p>
  </w:footnote>
  <w:footnote w:id="2">
    <w:p w14:paraId="4AAFFCE5" w14:textId="496254DC" w:rsidR="00400A3B" w:rsidRDefault="00400A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DD7E8F" w:rsidRPr="00DD7E8F">
        <w:rPr>
          <w:i/>
          <w:iCs/>
        </w:rPr>
        <w:t>Belsner</w:t>
      </w:r>
      <w:proofErr w:type="spellEnd"/>
      <w:r w:rsidR="00DD7E8F" w:rsidRPr="00DD7E8F">
        <w:rPr>
          <w:i/>
          <w:iCs/>
        </w:rPr>
        <w:t xml:space="preserve"> v CAM Legal Services Ltd</w:t>
      </w:r>
      <w:r w:rsidR="00DD7E8F">
        <w:t xml:space="preserve"> </w:t>
      </w:r>
      <w:r w:rsidR="009B1D84" w:rsidRPr="009B1D84">
        <w:t xml:space="preserve">[2022] EWCA </w:t>
      </w:r>
      <w:proofErr w:type="spellStart"/>
      <w:r w:rsidR="009B1D84" w:rsidRPr="009B1D84">
        <w:t>Civ</w:t>
      </w:r>
      <w:proofErr w:type="spellEnd"/>
      <w:r w:rsidR="009B1D84" w:rsidRPr="009B1D84">
        <w:t xml:space="preserve"> 1387</w:t>
      </w:r>
    </w:p>
  </w:footnote>
  <w:footnote w:id="3">
    <w:p w14:paraId="101C5860" w14:textId="2FA9BBB4" w:rsidR="009B1D84" w:rsidRDefault="009B1D84">
      <w:pPr>
        <w:pStyle w:val="FootnoteText"/>
      </w:pPr>
      <w:r>
        <w:rPr>
          <w:rStyle w:val="FootnoteReference"/>
        </w:rPr>
        <w:footnoteRef/>
      </w:r>
      <w:r>
        <w:t xml:space="preserve"> [2005] 1 WLR 2657</w:t>
      </w:r>
    </w:p>
  </w:footnote>
  <w:footnote w:id="4">
    <w:p w14:paraId="2F6D4D3F" w14:textId="54246C7E" w:rsidR="00932570" w:rsidRDefault="009325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560D4">
        <w:rPr>
          <w:rFonts w:eastAsia="Times New Roman"/>
        </w:rPr>
        <w:t xml:space="preserve">[2006] EWCA </w:t>
      </w:r>
      <w:proofErr w:type="spellStart"/>
      <w:r w:rsidRPr="007560D4">
        <w:rPr>
          <w:rFonts w:eastAsia="Times New Roman"/>
        </w:rPr>
        <w:t>Civ</w:t>
      </w:r>
      <w:proofErr w:type="spellEnd"/>
      <w:r w:rsidRPr="007560D4">
        <w:rPr>
          <w:rFonts w:eastAsia="Times New Roman"/>
        </w:rPr>
        <w:t xml:space="preserve"> 381</w:t>
      </w:r>
    </w:p>
  </w:footnote>
  <w:footnote w:id="5">
    <w:p w14:paraId="526CB87C" w14:textId="0A519AB2" w:rsidR="00934F50" w:rsidRDefault="00934F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62E4" w:rsidRPr="00AC62E4">
        <w:t>[2002] EWHC 417 (QB)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59"/>
    <w:multiLevelType w:val="multilevel"/>
    <w:tmpl w:val="DB6A2C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F65D9D"/>
    <w:multiLevelType w:val="multilevel"/>
    <w:tmpl w:val="19AEAFC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702485"/>
    <w:multiLevelType w:val="hybridMultilevel"/>
    <w:tmpl w:val="B100C9A0"/>
    <w:lvl w:ilvl="0" w:tplc="E5FC77A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85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804182">
    <w:abstractNumId w:val="0"/>
  </w:num>
  <w:num w:numId="3" w16cid:durableId="14667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7D"/>
    <w:rsid w:val="000140D1"/>
    <w:rsid w:val="000508AE"/>
    <w:rsid w:val="00095784"/>
    <w:rsid w:val="000B0CFF"/>
    <w:rsid w:val="000B4DBD"/>
    <w:rsid w:val="000D423A"/>
    <w:rsid w:val="001243CC"/>
    <w:rsid w:val="00130208"/>
    <w:rsid w:val="00140B19"/>
    <w:rsid w:val="0015203E"/>
    <w:rsid w:val="001524E9"/>
    <w:rsid w:val="00156D18"/>
    <w:rsid w:val="00171E8A"/>
    <w:rsid w:val="001801F7"/>
    <w:rsid w:val="0018116C"/>
    <w:rsid w:val="00197DF9"/>
    <w:rsid w:val="001D04CF"/>
    <w:rsid w:val="001E428D"/>
    <w:rsid w:val="00211B3A"/>
    <w:rsid w:val="002133E5"/>
    <w:rsid w:val="00226787"/>
    <w:rsid w:val="002267FA"/>
    <w:rsid w:val="002352B8"/>
    <w:rsid w:val="00246329"/>
    <w:rsid w:val="00252AAD"/>
    <w:rsid w:val="0025470F"/>
    <w:rsid w:val="00257F7B"/>
    <w:rsid w:val="0026232D"/>
    <w:rsid w:val="00275C69"/>
    <w:rsid w:val="00276692"/>
    <w:rsid w:val="002922AF"/>
    <w:rsid w:val="002A116E"/>
    <w:rsid w:val="002A27E8"/>
    <w:rsid w:val="002C2229"/>
    <w:rsid w:val="002D7145"/>
    <w:rsid w:val="002E75D2"/>
    <w:rsid w:val="002E7CD1"/>
    <w:rsid w:val="002F153E"/>
    <w:rsid w:val="002F7132"/>
    <w:rsid w:val="0030111F"/>
    <w:rsid w:val="00337CA5"/>
    <w:rsid w:val="0034410B"/>
    <w:rsid w:val="00363D4C"/>
    <w:rsid w:val="003C6791"/>
    <w:rsid w:val="003D24D4"/>
    <w:rsid w:val="003D755E"/>
    <w:rsid w:val="003E10C4"/>
    <w:rsid w:val="003F0547"/>
    <w:rsid w:val="00400A3B"/>
    <w:rsid w:val="00431B6C"/>
    <w:rsid w:val="00443828"/>
    <w:rsid w:val="00461638"/>
    <w:rsid w:val="00465086"/>
    <w:rsid w:val="00480700"/>
    <w:rsid w:val="00482E83"/>
    <w:rsid w:val="00497D56"/>
    <w:rsid w:val="004A27C9"/>
    <w:rsid w:val="004A4C76"/>
    <w:rsid w:val="004B6754"/>
    <w:rsid w:val="004C317C"/>
    <w:rsid w:val="004C56E5"/>
    <w:rsid w:val="004C6210"/>
    <w:rsid w:val="004D3DA0"/>
    <w:rsid w:val="004F6C55"/>
    <w:rsid w:val="00507E4C"/>
    <w:rsid w:val="005158F9"/>
    <w:rsid w:val="00522B32"/>
    <w:rsid w:val="00536191"/>
    <w:rsid w:val="00565BCA"/>
    <w:rsid w:val="00585721"/>
    <w:rsid w:val="005B606E"/>
    <w:rsid w:val="005C4548"/>
    <w:rsid w:val="005E29FC"/>
    <w:rsid w:val="00600EC2"/>
    <w:rsid w:val="0060124F"/>
    <w:rsid w:val="00616475"/>
    <w:rsid w:val="00657E7F"/>
    <w:rsid w:val="0067600F"/>
    <w:rsid w:val="00686F56"/>
    <w:rsid w:val="00690E29"/>
    <w:rsid w:val="006A1358"/>
    <w:rsid w:val="006B3AA5"/>
    <w:rsid w:val="006C1774"/>
    <w:rsid w:val="006D7FC6"/>
    <w:rsid w:val="006F3659"/>
    <w:rsid w:val="0070257D"/>
    <w:rsid w:val="00704DD5"/>
    <w:rsid w:val="00706817"/>
    <w:rsid w:val="007142AF"/>
    <w:rsid w:val="00715E61"/>
    <w:rsid w:val="00727BAB"/>
    <w:rsid w:val="007560D4"/>
    <w:rsid w:val="0076057D"/>
    <w:rsid w:val="007605CF"/>
    <w:rsid w:val="00761834"/>
    <w:rsid w:val="00776135"/>
    <w:rsid w:val="00776DDC"/>
    <w:rsid w:val="00786089"/>
    <w:rsid w:val="007D57A1"/>
    <w:rsid w:val="008578F7"/>
    <w:rsid w:val="0086120A"/>
    <w:rsid w:val="00875536"/>
    <w:rsid w:val="00882F04"/>
    <w:rsid w:val="0088307B"/>
    <w:rsid w:val="008A1589"/>
    <w:rsid w:val="008D167F"/>
    <w:rsid w:val="00906FFE"/>
    <w:rsid w:val="00932570"/>
    <w:rsid w:val="00934F50"/>
    <w:rsid w:val="00941BCD"/>
    <w:rsid w:val="00964D2B"/>
    <w:rsid w:val="00992318"/>
    <w:rsid w:val="00995453"/>
    <w:rsid w:val="009B1D84"/>
    <w:rsid w:val="009B341A"/>
    <w:rsid w:val="009E17D5"/>
    <w:rsid w:val="009F4958"/>
    <w:rsid w:val="00A07ED4"/>
    <w:rsid w:val="00A117E5"/>
    <w:rsid w:val="00A42508"/>
    <w:rsid w:val="00A54E8C"/>
    <w:rsid w:val="00A55322"/>
    <w:rsid w:val="00AB0B2A"/>
    <w:rsid w:val="00AC62E4"/>
    <w:rsid w:val="00AD0238"/>
    <w:rsid w:val="00AF07FF"/>
    <w:rsid w:val="00AF4A97"/>
    <w:rsid w:val="00B1044C"/>
    <w:rsid w:val="00B2360F"/>
    <w:rsid w:val="00B25DD8"/>
    <w:rsid w:val="00B36257"/>
    <w:rsid w:val="00B43CB9"/>
    <w:rsid w:val="00B93CB2"/>
    <w:rsid w:val="00B95585"/>
    <w:rsid w:val="00BA41F4"/>
    <w:rsid w:val="00BA5A5C"/>
    <w:rsid w:val="00BC09C9"/>
    <w:rsid w:val="00BC15C8"/>
    <w:rsid w:val="00BC18B1"/>
    <w:rsid w:val="00BC3F9E"/>
    <w:rsid w:val="00BC7566"/>
    <w:rsid w:val="00BE2AEE"/>
    <w:rsid w:val="00BE49D4"/>
    <w:rsid w:val="00C017BC"/>
    <w:rsid w:val="00C0547D"/>
    <w:rsid w:val="00C107C2"/>
    <w:rsid w:val="00C114D8"/>
    <w:rsid w:val="00C12093"/>
    <w:rsid w:val="00C344D6"/>
    <w:rsid w:val="00C537DE"/>
    <w:rsid w:val="00C53E66"/>
    <w:rsid w:val="00C6748B"/>
    <w:rsid w:val="00C73F1A"/>
    <w:rsid w:val="00C87FFE"/>
    <w:rsid w:val="00CA7B12"/>
    <w:rsid w:val="00CB3D61"/>
    <w:rsid w:val="00CC22C7"/>
    <w:rsid w:val="00CC2C9A"/>
    <w:rsid w:val="00CE7689"/>
    <w:rsid w:val="00D2268E"/>
    <w:rsid w:val="00D46326"/>
    <w:rsid w:val="00D56538"/>
    <w:rsid w:val="00D67494"/>
    <w:rsid w:val="00D91F18"/>
    <w:rsid w:val="00DB3ED5"/>
    <w:rsid w:val="00DC66C7"/>
    <w:rsid w:val="00DD21BF"/>
    <w:rsid w:val="00DD7E8F"/>
    <w:rsid w:val="00E01920"/>
    <w:rsid w:val="00E01C30"/>
    <w:rsid w:val="00E1283F"/>
    <w:rsid w:val="00E162CC"/>
    <w:rsid w:val="00E338F1"/>
    <w:rsid w:val="00E671BC"/>
    <w:rsid w:val="00E86CC3"/>
    <w:rsid w:val="00E92C09"/>
    <w:rsid w:val="00EA5F5C"/>
    <w:rsid w:val="00EB5A12"/>
    <w:rsid w:val="00EC357D"/>
    <w:rsid w:val="00EC7DF6"/>
    <w:rsid w:val="00ED4373"/>
    <w:rsid w:val="00ED7F60"/>
    <w:rsid w:val="00EE5F76"/>
    <w:rsid w:val="00EF6657"/>
    <w:rsid w:val="00F1551B"/>
    <w:rsid w:val="00F27CDA"/>
    <w:rsid w:val="00F374CB"/>
    <w:rsid w:val="00F425B5"/>
    <w:rsid w:val="00F44374"/>
    <w:rsid w:val="00F47B8B"/>
    <w:rsid w:val="00F54D14"/>
    <w:rsid w:val="00F61EA3"/>
    <w:rsid w:val="00F65009"/>
    <w:rsid w:val="00F66FD8"/>
    <w:rsid w:val="00FA37DE"/>
    <w:rsid w:val="00FA4A27"/>
    <w:rsid w:val="00FA5DCF"/>
    <w:rsid w:val="00FB729E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ECE8"/>
  <w15:chartTrackingRefBased/>
  <w15:docId w15:val="{40A5F1EC-F01B-420B-9489-3C62573F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4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4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203E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D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67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B6C"/>
    <w:rPr>
      <w:vertAlign w:val="superscript"/>
    </w:rPr>
  </w:style>
  <w:style w:type="paragraph" w:styleId="Revision">
    <w:name w:val="Revision"/>
    <w:hidden/>
    <w:uiPriority w:val="99"/>
    <w:semiHidden/>
    <w:rsid w:val="00657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PRCRollingConsultations@justic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EB2B-667E-4162-B07C-CBDBFB95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Ramos</dc:creator>
  <cp:keywords/>
  <dc:description/>
  <cp:lastModifiedBy>Ana Ramos</cp:lastModifiedBy>
  <cp:revision>3</cp:revision>
  <dcterms:created xsi:type="dcterms:W3CDTF">2022-11-24T09:45:00Z</dcterms:created>
  <dcterms:modified xsi:type="dcterms:W3CDTF">2022-11-24T12:09:00Z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f136afda-016f-49d8-b4b8-4ec98a963538</vt:lpwstr>
  </property>
</Properties>
</file>