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DA" w:rsidRPr="007723DA" w:rsidRDefault="007723DA" w:rsidP="0029614A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LASTCURSORPOSITION"/>
      <w:bookmarkStart w:id="1" w:name="_GoBack"/>
      <w:bookmarkEnd w:id="0"/>
      <w:bookmarkEnd w:id="1"/>
      <w:r w:rsidRPr="007723DA">
        <w:rPr>
          <w:rFonts w:ascii="Tahoma" w:hAnsi="Tahoma" w:cs="Tahoma"/>
          <w:b/>
          <w:sz w:val="28"/>
          <w:szCs w:val="28"/>
          <w:u w:val="single"/>
        </w:rPr>
        <w:t xml:space="preserve">MINUTES OF </w:t>
      </w:r>
      <w:r w:rsidR="00695C5E" w:rsidRPr="007723DA">
        <w:rPr>
          <w:rFonts w:ascii="Tahoma" w:hAnsi="Tahoma" w:cs="Tahoma"/>
          <w:b/>
          <w:sz w:val="28"/>
          <w:szCs w:val="28"/>
          <w:u w:val="single"/>
        </w:rPr>
        <w:t>APIL MULTI</w:t>
      </w:r>
      <w:r w:rsidR="00F25C80" w:rsidRPr="007723DA">
        <w:rPr>
          <w:rFonts w:ascii="Tahoma" w:hAnsi="Tahoma" w:cs="Tahoma"/>
          <w:b/>
          <w:sz w:val="28"/>
          <w:szCs w:val="28"/>
          <w:u w:val="single"/>
        </w:rPr>
        <w:t>-PARTY</w:t>
      </w:r>
    </w:p>
    <w:p w:rsidR="00695C5E" w:rsidRDefault="00F25C80" w:rsidP="0029614A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723DA">
        <w:rPr>
          <w:rFonts w:ascii="Tahoma" w:hAnsi="Tahoma" w:cs="Tahoma"/>
          <w:b/>
          <w:sz w:val="28"/>
          <w:szCs w:val="28"/>
          <w:u w:val="single"/>
        </w:rPr>
        <w:t>ACTION/CLINICAL NEGLIGNCE</w:t>
      </w:r>
      <w:r w:rsidR="007723DA" w:rsidRPr="007723DA">
        <w:rPr>
          <w:rFonts w:ascii="Tahoma" w:hAnsi="Tahoma" w:cs="Tahoma"/>
          <w:b/>
          <w:sz w:val="28"/>
          <w:szCs w:val="28"/>
          <w:u w:val="single"/>
        </w:rPr>
        <w:t xml:space="preserve"> SIG MEETING</w:t>
      </w:r>
    </w:p>
    <w:p w:rsidR="00F10755" w:rsidRDefault="00F10755" w:rsidP="0029614A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25 February 2014</w:t>
      </w:r>
    </w:p>
    <w:p w:rsidR="00F10755" w:rsidRDefault="00F10755" w:rsidP="0029614A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At Leigh Day and Co, London</w:t>
      </w:r>
    </w:p>
    <w:p w:rsidR="007723DA" w:rsidRDefault="007723DA" w:rsidP="0029614A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7723DA" w:rsidRDefault="007723DA" w:rsidP="0029614A">
      <w:pPr>
        <w:spacing w:line="276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Speaker: </w:t>
      </w:r>
    </w:p>
    <w:p w:rsidR="00882E92" w:rsidRDefault="00882E92" w:rsidP="0029614A">
      <w:pPr>
        <w:spacing w:line="276" w:lineRule="auto"/>
        <w:rPr>
          <w:rFonts w:ascii="Tahoma" w:hAnsi="Tahoma" w:cs="Tahoma"/>
          <w:b/>
          <w:szCs w:val="24"/>
          <w:u w:val="single"/>
        </w:rPr>
      </w:pPr>
    </w:p>
    <w:p w:rsidR="00882E92" w:rsidRDefault="00882E92" w:rsidP="0029614A">
      <w:pPr>
        <w:spacing w:line="276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Mr Ian Cohen – Practice Group Lead</w:t>
      </w:r>
      <w:r w:rsidR="00DE0B7C">
        <w:rPr>
          <w:rFonts w:ascii="Tahoma" w:hAnsi="Tahoma" w:cs="Tahoma"/>
          <w:b/>
          <w:szCs w:val="24"/>
        </w:rPr>
        <w:t>er, Clinical Negligence, Slater &amp;</w:t>
      </w:r>
    </w:p>
    <w:p w:rsidR="00DE0B7C" w:rsidRDefault="00DE0B7C" w:rsidP="0029614A">
      <w:pPr>
        <w:spacing w:line="276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Gordon Lawyers</w:t>
      </w:r>
    </w:p>
    <w:p w:rsidR="00DE0B7C" w:rsidRPr="000C5719" w:rsidRDefault="00DE0B7C" w:rsidP="0029614A">
      <w:pPr>
        <w:spacing w:line="276" w:lineRule="auto"/>
        <w:rPr>
          <w:rFonts w:ascii="Tahoma" w:hAnsi="Tahoma" w:cs="Tahoma"/>
          <w:szCs w:val="24"/>
        </w:rPr>
      </w:pPr>
    </w:p>
    <w:p w:rsidR="00DE0B7C" w:rsidRPr="000C5719" w:rsidRDefault="00DE0B7C" w:rsidP="0029614A">
      <w:pPr>
        <w:spacing w:line="276" w:lineRule="auto"/>
        <w:rPr>
          <w:rFonts w:ascii="Tahoma" w:hAnsi="Tahoma" w:cs="Tahoma"/>
          <w:szCs w:val="24"/>
        </w:rPr>
      </w:pPr>
      <w:r w:rsidRPr="000C5719">
        <w:rPr>
          <w:rFonts w:ascii="Tahoma" w:hAnsi="Tahoma" w:cs="Tahoma"/>
          <w:szCs w:val="24"/>
        </w:rPr>
        <w:t xml:space="preserve">The title of his talk was “The George Rowland Litigation – a blue print for </w:t>
      </w:r>
      <w:r w:rsidR="005B4B8C">
        <w:rPr>
          <w:rFonts w:ascii="Tahoma" w:hAnsi="Tahoma" w:cs="Tahoma"/>
          <w:szCs w:val="24"/>
        </w:rPr>
        <w:t>G</w:t>
      </w:r>
      <w:r w:rsidRPr="000C5719">
        <w:rPr>
          <w:rFonts w:ascii="Tahoma" w:hAnsi="Tahoma" w:cs="Tahoma"/>
          <w:szCs w:val="24"/>
        </w:rPr>
        <w:t xml:space="preserve">roup </w:t>
      </w:r>
      <w:r w:rsidR="005B4B8C">
        <w:rPr>
          <w:rFonts w:ascii="Tahoma" w:hAnsi="Tahoma" w:cs="Tahoma"/>
          <w:szCs w:val="24"/>
        </w:rPr>
        <w:t>A</w:t>
      </w:r>
      <w:r w:rsidRPr="000C5719">
        <w:rPr>
          <w:rFonts w:ascii="Tahoma" w:hAnsi="Tahoma" w:cs="Tahoma"/>
          <w:szCs w:val="24"/>
        </w:rPr>
        <w:t>ctions against the NHS”.</w:t>
      </w:r>
      <w:r w:rsidR="00F10755">
        <w:rPr>
          <w:rFonts w:ascii="Tahoma" w:hAnsi="Tahoma" w:cs="Tahoma"/>
          <w:szCs w:val="24"/>
        </w:rPr>
        <w:t xml:space="preserve"> The case involved a group of Women who had been operate on by Mr George Rowlands, Consultant Urogynaecologist between 1994 and 2008 at the Aintree Hospital and the Liverpool Women’s Hospital</w:t>
      </w:r>
    </w:p>
    <w:p w:rsidR="000C5719" w:rsidRDefault="000C5719" w:rsidP="0029614A">
      <w:pPr>
        <w:spacing w:line="276" w:lineRule="auto"/>
        <w:rPr>
          <w:rFonts w:ascii="Tahoma" w:hAnsi="Tahoma" w:cs="Tahoma"/>
          <w:b/>
          <w:szCs w:val="24"/>
        </w:rPr>
      </w:pPr>
    </w:p>
    <w:p w:rsidR="000C5719" w:rsidRDefault="000C5719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This blue print worked very well pre</w:t>
      </w:r>
      <w:r w:rsidR="003A4A87">
        <w:rPr>
          <w:rFonts w:ascii="Tahoma" w:hAnsi="Tahoma" w:cs="Tahoma"/>
          <w:szCs w:val="24"/>
        </w:rPr>
        <w:t xml:space="preserve"> Jackson but there may be some difficulty in using it post Jackson</w:t>
      </w:r>
      <w:r w:rsidR="00F10755">
        <w:rPr>
          <w:rFonts w:ascii="Tahoma" w:hAnsi="Tahoma" w:cs="Tahoma"/>
          <w:szCs w:val="24"/>
        </w:rPr>
        <w:t>. P</w:t>
      </w:r>
      <w:r w:rsidR="003A4A87">
        <w:rPr>
          <w:rFonts w:ascii="Tahoma" w:hAnsi="Tahoma" w:cs="Tahoma"/>
          <w:szCs w:val="24"/>
        </w:rPr>
        <w:t xml:space="preserve">erhaps it can be used in spirit as financial incentives for the </w:t>
      </w:r>
      <w:r w:rsidR="00E34A1E">
        <w:rPr>
          <w:rFonts w:ascii="Tahoma" w:hAnsi="Tahoma" w:cs="Tahoma"/>
          <w:szCs w:val="24"/>
        </w:rPr>
        <w:t>NHS LA have been removed.</w:t>
      </w:r>
    </w:p>
    <w:p w:rsidR="00E34A1E" w:rsidRDefault="00E34A1E" w:rsidP="0029614A">
      <w:pPr>
        <w:spacing w:line="276" w:lineRule="auto"/>
        <w:rPr>
          <w:rFonts w:ascii="Tahoma" w:hAnsi="Tahoma" w:cs="Tahoma"/>
          <w:szCs w:val="24"/>
        </w:rPr>
      </w:pPr>
    </w:p>
    <w:p w:rsidR="00E34A1E" w:rsidRDefault="00E34A1E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</w:t>
      </w:r>
      <w:r w:rsidR="00103D96">
        <w:rPr>
          <w:rFonts w:ascii="Tahoma" w:hAnsi="Tahoma" w:cs="Tahoma"/>
          <w:szCs w:val="24"/>
        </w:rPr>
        <w:t>P</w:t>
      </w:r>
      <w:r>
        <w:rPr>
          <w:rFonts w:ascii="Tahoma" w:hAnsi="Tahoma" w:cs="Tahoma"/>
          <w:szCs w:val="24"/>
        </w:rPr>
        <w:t xml:space="preserve">rotocol is currently being </w:t>
      </w:r>
      <w:r w:rsidR="00F9024F">
        <w:rPr>
          <w:rFonts w:ascii="Tahoma" w:hAnsi="Tahoma" w:cs="Tahoma"/>
          <w:szCs w:val="24"/>
        </w:rPr>
        <w:t xml:space="preserve">used in a number of similar Group Actions around the Country but it has been significantly modified.  It also probably wouldn’t work for </w:t>
      </w:r>
      <w:r w:rsidR="00F10755">
        <w:rPr>
          <w:rFonts w:ascii="Tahoma" w:hAnsi="Tahoma" w:cs="Tahoma"/>
          <w:szCs w:val="24"/>
        </w:rPr>
        <w:t xml:space="preserve">claims against </w:t>
      </w:r>
      <w:r w:rsidR="00796168">
        <w:rPr>
          <w:rFonts w:ascii="Tahoma" w:hAnsi="Tahoma" w:cs="Tahoma"/>
          <w:szCs w:val="24"/>
        </w:rPr>
        <w:t>MPS</w:t>
      </w:r>
      <w:r w:rsidR="00F10755">
        <w:rPr>
          <w:rFonts w:ascii="Tahoma" w:hAnsi="Tahoma" w:cs="Tahoma"/>
          <w:szCs w:val="24"/>
        </w:rPr>
        <w:t>,</w:t>
      </w:r>
      <w:r w:rsidR="00796168">
        <w:rPr>
          <w:rFonts w:ascii="Tahoma" w:hAnsi="Tahoma" w:cs="Tahoma"/>
          <w:szCs w:val="24"/>
        </w:rPr>
        <w:t xml:space="preserve"> MDU or Insurance Defendants but it does illustrate t</w:t>
      </w:r>
      <w:r w:rsidR="004F66BC">
        <w:rPr>
          <w:rFonts w:ascii="Tahoma" w:hAnsi="Tahoma" w:cs="Tahoma"/>
          <w:szCs w:val="24"/>
        </w:rPr>
        <w:t>hat a case can be dealt</w:t>
      </w:r>
      <w:r w:rsidR="00F10755">
        <w:rPr>
          <w:rFonts w:ascii="Tahoma" w:hAnsi="Tahoma" w:cs="Tahoma"/>
          <w:szCs w:val="24"/>
        </w:rPr>
        <w:t xml:space="preserve"> with successfully</w:t>
      </w:r>
      <w:r w:rsidR="004F66BC">
        <w:rPr>
          <w:rFonts w:ascii="Tahoma" w:hAnsi="Tahoma" w:cs="Tahoma"/>
          <w:szCs w:val="24"/>
        </w:rPr>
        <w:t xml:space="preserve"> without Court involvement.</w:t>
      </w:r>
    </w:p>
    <w:p w:rsidR="00F10755" w:rsidRDefault="00F10755" w:rsidP="0029614A">
      <w:pPr>
        <w:spacing w:line="276" w:lineRule="auto"/>
        <w:rPr>
          <w:rFonts w:ascii="Tahoma" w:hAnsi="Tahoma" w:cs="Tahoma"/>
          <w:szCs w:val="24"/>
        </w:rPr>
      </w:pPr>
    </w:p>
    <w:p w:rsidR="001E2658" w:rsidRDefault="001E2658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It was estimated that Mr Rowlands had operated on about 3,000 women for various gynaecological conditions. He had performed a bundling of procedures during the same operation and this had led to many of them suffering from incontinence.</w:t>
      </w:r>
    </w:p>
    <w:p w:rsidR="001E2658" w:rsidRDefault="001E2658" w:rsidP="0029614A">
      <w:pPr>
        <w:spacing w:line="276" w:lineRule="auto"/>
        <w:rPr>
          <w:rFonts w:ascii="Tahoma" w:hAnsi="Tahoma" w:cs="Tahoma"/>
          <w:szCs w:val="24"/>
        </w:rPr>
      </w:pPr>
    </w:p>
    <w:p w:rsidR="000C4237" w:rsidRDefault="00F10755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At the outset of the claim there had been 2 connected cases</w:t>
      </w:r>
      <w:r w:rsidR="001E2658">
        <w:rPr>
          <w:rFonts w:ascii="Tahoma" w:hAnsi="Tahoma" w:cs="Tahoma"/>
          <w:szCs w:val="24"/>
        </w:rPr>
        <w:t xml:space="preserve"> which developed into 350 cases after an advertising campaign. </w:t>
      </w:r>
      <w:r w:rsidR="000C4237">
        <w:rPr>
          <w:rFonts w:ascii="Tahoma" w:hAnsi="Tahoma" w:cs="Tahoma"/>
          <w:szCs w:val="24"/>
        </w:rPr>
        <w:t>There were six other firms involved acting for about another fifty Claimants.</w:t>
      </w:r>
      <w:r w:rsidR="007E411F">
        <w:rPr>
          <w:rFonts w:ascii="Tahoma" w:hAnsi="Tahoma" w:cs="Tahoma"/>
          <w:szCs w:val="24"/>
        </w:rPr>
        <w:t xml:space="preserve">  </w:t>
      </w:r>
      <w:r w:rsidR="000C4237">
        <w:rPr>
          <w:rFonts w:ascii="Tahoma" w:hAnsi="Tahoma" w:cs="Tahoma"/>
          <w:szCs w:val="24"/>
        </w:rPr>
        <w:t xml:space="preserve">A report was produced by the Health Board called “The Verity Report” which showed that there had been KPI’s in place but </w:t>
      </w:r>
      <w:r w:rsidR="004B7D52">
        <w:rPr>
          <w:rFonts w:ascii="Tahoma" w:hAnsi="Tahoma" w:cs="Tahoma"/>
          <w:szCs w:val="24"/>
        </w:rPr>
        <w:t>analysis</w:t>
      </w:r>
      <w:r w:rsidR="000C4237">
        <w:rPr>
          <w:rFonts w:ascii="Tahoma" w:hAnsi="Tahoma" w:cs="Tahoma"/>
          <w:szCs w:val="24"/>
        </w:rPr>
        <w:t xml:space="preserve"> had been done</w:t>
      </w:r>
      <w:r w:rsidR="001E2658">
        <w:rPr>
          <w:rFonts w:ascii="Tahoma" w:hAnsi="Tahoma" w:cs="Tahoma"/>
          <w:szCs w:val="24"/>
        </w:rPr>
        <w:t xml:space="preserve"> to pick up the statistics of poor outcome</w:t>
      </w:r>
      <w:r w:rsidR="000C4237">
        <w:rPr>
          <w:rFonts w:ascii="Tahoma" w:hAnsi="Tahoma" w:cs="Tahoma"/>
          <w:szCs w:val="24"/>
        </w:rPr>
        <w:t>.  Dr Rowlands was an old fashioned style Consultant and no-one had questioned him.</w:t>
      </w:r>
    </w:p>
    <w:p w:rsidR="000C4237" w:rsidRDefault="000C4237" w:rsidP="0029614A">
      <w:pPr>
        <w:spacing w:line="276" w:lineRule="auto"/>
        <w:rPr>
          <w:rFonts w:ascii="Tahoma" w:hAnsi="Tahoma" w:cs="Tahoma"/>
          <w:szCs w:val="24"/>
        </w:rPr>
      </w:pPr>
    </w:p>
    <w:p w:rsidR="004B7D52" w:rsidRDefault="00321EEB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Protocol only took two months to actually set up. </w:t>
      </w:r>
      <w:r w:rsidR="0029614A">
        <w:rPr>
          <w:rFonts w:ascii="Tahoma" w:hAnsi="Tahoma" w:cs="Tahoma"/>
          <w:szCs w:val="24"/>
        </w:rPr>
        <w:t xml:space="preserve">A pro forma of the agreement was quickly set up and agreed with Hill Dickinson, the Health Authority Solicitors. The Claimants would give a brief summary to Hill Dickinson and they would be placed on a register of claimants. </w:t>
      </w:r>
      <w:r w:rsidR="001E2658">
        <w:rPr>
          <w:rFonts w:ascii="Tahoma" w:hAnsi="Tahoma" w:cs="Tahoma"/>
          <w:szCs w:val="24"/>
        </w:rPr>
        <w:t>T</w:t>
      </w:r>
      <w:r w:rsidR="00937CE2">
        <w:rPr>
          <w:rFonts w:ascii="Tahoma" w:hAnsi="Tahoma" w:cs="Tahoma"/>
          <w:szCs w:val="24"/>
        </w:rPr>
        <w:t>here were no Limitation issues raised at all.  The cut off da</w:t>
      </w:r>
      <w:r w:rsidR="002A64EE">
        <w:rPr>
          <w:rFonts w:ascii="Tahoma" w:hAnsi="Tahoma" w:cs="Tahoma"/>
          <w:szCs w:val="24"/>
        </w:rPr>
        <w:t xml:space="preserve">te was given as November 2010 but cases that came forward after the cut off date were allowed </w:t>
      </w:r>
      <w:r w:rsidR="00D95327">
        <w:rPr>
          <w:rFonts w:ascii="Tahoma" w:hAnsi="Tahoma" w:cs="Tahoma"/>
          <w:szCs w:val="24"/>
        </w:rPr>
        <w:t xml:space="preserve">in without question.  </w:t>
      </w:r>
    </w:p>
    <w:p w:rsidR="001E2658" w:rsidRDefault="001E2658" w:rsidP="0029614A">
      <w:pPr>
        <w:spacing w:line="276" w:lineRule="auto"/>
        <w:rPr>
          <w:rFonts w:ascii="Tahoma" w:hAnsi="Tahoma" w:cs="Tahoma"/>
          <w:szCs w:val="24"/>
        </w:rPr>
      </w:pPr>
    </w:p>
    <w:p w:rsidR="004B7D52" w:rsidRDefault="001E2658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There was a tariff for the various injury types and severities.  </w:t>
      </w:r>
      <w:r w:rsidR="0029614A">
        <w:rPr>
          <w:rFonts w:ascii="Tahoma" w:hAnsi="Tahoma" w:cs="Tahoma"/>
          <w:szCs w:val="24"/>
        </w:rPr>
        <w:t>The JSB was very unhelpful for gynaecological injuries so a CICA type scheme was set up plus bolt on figures depending on the number of operations each Claimant had etc and a discount given for any causation problems and there were some agreed specials.</w:t>
      </w:r>
      <w:r w:rsidR="0029614A" w:rsidRPr="001E2658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Interest was being claimed from the May 2010</w:t>
      </w:r>
      <w:r w:rsidR="00321EEB">
        <w:rPr>
          <w:rFonts w:ascii="Tahoma" w:hAnsi="Tahoma" w:cs="Tahoma"/>
          <w:szCs w:val="24"/>
        </w:rPr>
        <w:t>.</w:t>
      </w:r>
    </w:p>
    <w:p w:rsidR="001E2658" w:rsidRDefault="001E2658" w:rsidP="0029614A">
      <w:pPr>
        <w:spacing w:line="276" w:lineRule="auto"/>
        <w:rPr>
          <w:rFonts w:ascii="Tahoma" w:hAnsi="Tahoma" w:cs="Tahoma"/>
          <w:szCs w:val="24"/>
        </w:rPr>
      </w:pPr>
    </w:p>
    <w:p w:rsidR="00D5099D" w:rsidRDefault="00D95327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There was no litigation so there was no Group Litigation Order.  </w:t>
      </w:r>
      <w:r w:rsidR="00321EEB">
        <w:rPr>
          <w:rFonts w:ascii="Tahoma" w:hAnsi="Tahoma" w:cs="Tahoma"/>
          <w:szCs w:val="24"/>
        </w:rPr>
        <w:t>T</w:t>
      </w:r>
      <w:r w:rsidR="00B96647">
        <w:rPr>
          <w:rFonts w:ascii="Tahoma" w:hAnsi="Tahoma" w:cs="Tahoma"/>
          <w:szCs w:val="24"/>
        </w:rPr>
        <w:t>here was a one way cost</w:t>
      </w:r>
      <w:r w:rsidR="00D5099D">
        <w:rPr>
          <w:rFonts w:ascii="Tahoma" w:hAnsi="Tahoma" w:cs="Tahoma"/>
          <w:szCs w:val="24"/>
        </w:rPr>
        <w:t>s</w:t>
      </w:r>
      <w:r w:rsidR="00B96647">
        <w:rPr>
          <w:rFonts w:ascii="Tahoma" w:hAnsi="Tahoma" w:cs="Tahoma"/>
          <w:szCs w:val="24"/>
        </w:rPr>
        <w:t xml:space="preserve"> shifting regardless of the outcome on the cases because the costs were being paid on an indemnity basis on all cases i.e. the successful and the un</w:t>
      </w:r>
      <w:r w:rsidR="00407754">
        <w:rPr>
          <w:rFonts w:ascii="Tahoma" w:hAnsi="Tahoma" w:cs="Tahoma"/>
          <w:szCs w:val="24"/>
        </w:rPr>
        <w:t xml:space="preserve">successful </w:t>
      </w:r>
      <w:r w:rsidR="00E54A5E">
        <w:rPr>
          <w:rFonts w:ascii="Tahoma" w:hAnsi="Tahoma" w:cs="Tahoma"/>
          <w:szCs w:val="24"/>
        </w:rPr>
        <w:t>cases</w:t>
      </w:r>
      <w:r w:rsidR="00D5099D">
        <w:rPr>
          <w:rFonts w:ascii="Tahoma" w:hAnsi="Tahoma" w:cs="Tahoma"/>
          <w:szCs w:val="24"/>
        </w:rPr>
        <w:t>,</w:t>
      </w:r>
      <w:r w:rsidR="00E54A5E">
        <w:rPr>
          <w:rFonts w:ascii="Tahoma" w:hAnsi="Tahoma" w:cs="Tahoma"/>
          <w:szCs w:val="24"/>
        </w:rPr>
        <w:t xml:space="preserve"> so there was therefore a Nil percent success fee and also </w:t>
      </w:r>
      <w:r w:rsidR="00321EEB">
        <w:rPr>
          <w:rFonts w:ascii="Tahoma" w:hAnsi="Tahoma" w:cs="Tahoma"/>
          <w:szCs w:val="24"/>
        </w:rPr>
        <w:t>no need for</w:t>
      </w:r>
      <w:r w:rsidR="00E54A5E">
        <w:rPr>
          <w:rFonts w:ascii="Tahoma" w:hAnsi="Tahoma" w:cs="Tahoma"/>
          <w:szCs w:val="24"/>
        </w:rPr>
        <w:t xml:space="preserve"> ATE Insurance.  </w:t>
      </w:r>
    </w:p>
    <w:p w:rsidR="00D5099D" w:rsidRDefault="00D5099D" w:rsidP="0029614A">
      <w:pPr>
        <w:spacing w:line="276" w:lineRule="auto"/>
        <w:rPr>
          <w:rFonts w:ascii="Tahoma" w:hAnsi="Tahoma" w:cs="Tahoma"/>
          <w:szCs w:val="24"/>
        </w:rPr>
      </w:pPr>
    </w:p>
    <w:p w:rsidR="000C4237" w:rsidRDefault="00E54A5E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There was an agreed hourly rate which was in fact a 20% uplift on their normal hourly rate and then there was payment of generic costs as well.  Interim payments on costs were made on a six monthly basis.  It was </w:t>
      </w:r>
      <w:r w:rsidR="00D5099D">
        <w:rPr>
          <w:rFonts w:ascii="Tahoma" w:hAnsi="Tahoma" w:cs="Tahoma"/>
          <w:szCs w:val="24"/>
        </w:rPr>
        <w:t xml:space="preserve">for </w:t>
      </w:r>
      <w:r>
        <w:rPr>
          <w:rFonts w:ascii="Tahoma" w:hAnsi="Tahoma" w:cs="Tahoma"/>
          <w:szCs w:val="24"/>
        </w:rPr>
        <w:t>75% of the costs claimed</w:t>
      </w:r>
      <w:r w:rsidR="00321EEB">
        <w:rPr>
          <w:rFonts w:ascii="Tahoma" w:hAnsi="Tahoma" w:cs="Tahoma"/>
          <w:szCs w:val="24"/>
        </w:rPr>
        <w:t xml:space="preserve"> and </w:t>
      </w:r>
      <w:r w:rsidR="00854A78">
        <w:rPr>
          <w:rFonts w:ascii="Tahoma" w:hAnsi="Tahoma" w:cs="Tahoma"/>
          <w:szCs w:val="24"/>
        </w:rPr>
        <w:t>at the end of the case the only costs negotiations w</w:t>
      </w:r>
      <w:r w:rsidR="00321EEB">
        <w:rPr>
          <w:rFonts w:ascii="Tahoma" w:hAnsi="Tahoma" w:cs="Tahoma"/>
          <w:szCs w:val="24"/>
        </w:rPr>
        <w:t>as</w:t>
      </w:r>
      <w:r w:rsidR="00854A78">
        <w:rPr>
          <w:rFonts w:ascii="Tahoma" w:hAnsi="Tahoma" w:cs="Tahoma"/>
          <w:szCs w:val="24"/>
        </w:rPr>
        <w:t xml:space="preserve"> in relation to the residual 25% that had not been paid as </w:t>
      </w:r>
      <w:r w:rsidR="00321EEB">
        <w:rPr>
          <w:rFonts w:ascii="Tahoma" w:hAnsi="Tahoma" w:cs="Tahoma"/>
          <w:szCs w:val="24"/>
        </w:rPr>
        <w:t xml:space="preserve">an </w:t>
      </w:r>
      <w:r w:rsidR="00854A78">
        <w:rPr>
          <w:rFonts w:ascii="Tahoma" w:hAnsi="Tahoma" w:cs="Tahoma"/>
          <w:szCs w:val="24"/>
        </w:rPr>
        <w:t>interim payment</w:t>
      </w:r>
      <w:r w:rsidR="00321EEB">
        <w:rPr>
          <w:rFonts w:ascii="Tahoma" w:hAnsi="Tahoma" w:cs="Tahoma"/>
          <w:szCs w:val="24"/>
        </w:rPr>
        <w:t>.</w:t>
      </w:r>
      <w:r w:rsidR="00854A78">
        <w:rPr>
          <w:rFonts w:ascii="Tahoma" w:hAnsi="Tahoma" w:cs="Tahoma"/>
          <w:szCs w:val="24"/>
        </w:rPr>
        <w:t xml:space="preserve"> </w:t>
      </w:r>
      <w:r w:rsidR="009E4F0B">
        <w:rPr>
          <w:rFonts w:ascii="Tahoma" w:hAnsi="Tahoma" w:cs="Tahoma"/>
          <w:szCs w:val="24"/>
        </w:rPr>
        <w:t xml:space="preserve"> There was a history of trust </w:t>
      </w:r>
      <w:r w:rsidR="00321EEB">
        <w:rPr>
          <w:rFonts w:ascii="Tahoma" w:hAnsi="Tahoma" w:cs="Tahoma"/>
          <w:szCs w:val="24"/>
        </w:rPr>
        <w:t>and</w:t>
      </w:r>
      <w:r w:rsidR="009E4F0B">
        <w:rPr>
          <w:rFonts w:ascii="Tahoma" w:hAnsi="Tahoma" w:cs="Tahoma"/>
          <w:szCs w:val="24"/>
        </w:rPr>
        <w:t xml:space="preserve"> confidence built up between the Claimant and Defendant’s Solicitors and overall there was an 85% recovery on all costs which all parties were satisfied with.</w:t>
      </w:r>
    </w:p>
    <w:p w:rsidR="009E4F0B" w:rsidRDefault="009E4F0B" w:rsidP="0029614A">
      <w:pPr>
        <w:spacing w:line="276" w:lineRule="auto"/>
        <w:rPr>
          <w:rFonts w:ascii="Tahoma" w:hAnsi="Tahoma" w:cs="Tahoma"/>
          <w:szCs w:val="24"/>
        </w:rPr>
      </w:pPr>
    </w:p>
    <w:p w:rsidR="0085003D" w:rsidRDefault="004C3614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 addition to the interim payment on costs</w:t>
      </w:r>
      <w:r w:rsidR="00011F5F">
        <w:rPr>
          <w:rFonts w:ascii="Tahoma" w:hAnsi="Tahoma" w:cs="Tahoma"/>
          <w:szCs w:val="24"/>
        </w:rPr>
        <w:t xml:space="preserve"> all disbursement</w:t>
      </w:r>
      <w:r w:rsidR="00600A2E">
        <w:rPr>
          <w:rFonts w:ascii="Tahoma" w:hAnsi="Tahoma" w:cs="Tahoma"/>
          <w:szCs w:val="24"/>
        </w:rPr>
        <w:t>s</w:t>
      </w:r>
      <w:r w:rsidR="002E69D5">
        <w:rPr>
          <w:rFonts w:ascii="Tahoma" w:hAnsi="Tahoma" w:cs="Tahoma"/>
          <w:szCs w:val="24"/>
        </w:rPr>
        <w:t xml:space="preserve"> </w:t>
      </w:r>
      <w:r w:rsidR="005C2002">
        <w:rPr>
          <w:rFonts w:ascii="Tahoma" w:hAnsi="Tahoma" w:cs="Tahoma"/>
          <w:szCs w:val="24"/>
        </w:rPr>
        <w:t>have been paid every six months</w:t>
      </w:r>
      <w:r w:rsidR="002A203B">
        <w:rPr>
          <w:rFonts w:ascii="Tahoma" w:hAnsi="Tahoma" w:cs="Tahoma"/>
          <w:szCs w:val="24"/>
        </w:rPr>
        <w:t xml:space="preserve">.  Although the experts are joint experts they are in fact </w:t>
      </w:r>
      <w:r w:rsidR="00A00538">
        <w:rPr>
          <w:rFonts w:ascii="Tahoma" w:hAnsi="Tahoma" w:cs="Tahoma"/>
          <w:szCs w:val="24"/>
        </w:rPr>
        <w:t>being paid entirely by the Defendant’s Solicitor</w:t>
      </w:r>
      <w:r w:rsidR="0085003D">
        <w:rPr>
          <w:rFonts w:ascii="Tahoma" w:hAnsi="Tahoma" w:cs="Tahoma"/>
          <w:szCs w:val="24"/>
        </w:rPr>
        <w:t>s</w:t>
      </w:r>
      <w:r w:rsidR="00A00538">
        <w:rPr>
          <w:rFonts w:ascii="Tahoma" w:hAnsi="Tahoma" w:cs="Tahoma"/>
          <w:szCs w:val="24"/>
        </w:rPr>
        <w:t xml:space="preserve">.  </w:t>
      </w:r>
    </w:p>
    <w:p w:rsidR="002F23F8" w:rsidRDefault="002F23F8" w:rsidP="0029614A">
      <w:pPr>
        <w:spacing w:line="276" w:lineRule="auto"/>
        <w:rPr>
          <w:rFonts w:ascii="Tahoma" w:hAnsi="Tahoma" w:cs="Tahoma"/>
          <w:szCs w:val="24"/>
        </w:rPr>
      </w:pPr>
    </w:p>
    <w:p w:rsidR="00BB26D7" w:rsidRDefault="00A00538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There was a simplified claims process in that the claim</w:t>
      </w:r>
      <w:r w:rsidR="002F23F8">
        <w:rPr>
          <w:rFonts w:ascii="Tahoma" w:hAnsi="Tahoma" w:cs="Tahoma"/>
          <w:szCs w:val="24"/>
        </w:rPr>
        <w:t>ant</w:t>
      </w:r>
      <w:r>
        <w:rPr>
          <w:rFonts w:ascii="Tahoma" w:hAnsi="Tahoma" w:cs="Tahoma"/>
          <w:szCs w:val="24"/>
        </w:rPr>
        <w:t xml:space="preserve"> pre</w:t>
      </w:r>
      <w:r w:rsidR="002F23F8">
        <w:rPr>
          <w:rFonts w:ascii="Tahoma" w:hAnsi="Tahoma" w:cs="Tahoma"/>
          <w:szCs w:val="24"/>
        </w:rPr>
        <w:t>pared</w:t>
      </w:r>
      <w:r>
        <w:rPr>
          <w:rFonts w:ascii="Tahoma" w:hAnsi="Tahoma" w:cs="Tahoma"/>
          <w:szCs w:val="24"/>
        </w:rPr>
        <w:t xml:space="preserve"> a </w:t>
      </w:r>
      <w:r w:rsidR="002F23F8">
        <w:rPr>
          <w:rFonts w:ascii="Tahoma" w:hAnsi="Tahoma" w:cs="Tahoma"/>
          <w:szCs w:val="24"/>
        </w:rPr>
        <w:t>c</w:t>
      </w:r>
      <w:r>
        <w:rPr>
          <w:rFonts w:ascii="Tahoma" w:hAnsi="Tahoma" w:cs="Tahoma"/>
          <w:szCs w:val="24"/>
        </w:rPr>
        <w:t xml:space="preserve">onditional </w:t>
      </w:r>
      <w:r w:rsidR="00B55F18">
        <w:rPr>
          <w:rFonts w:ascii="Tahoma" w:hAnsi="Tahoma" w:cs="Tahoma"/>
          <w:szCs w:val="24"/>
        </w:rPr>
        <w:t>&amp;</w:t>
      </w:r>
      <w:r>
        <w:rPr>
          <w:rFonts w:ascii="Tahoma" w:hAnsi="Tahoma" w:cs="Tahoma"/>
          <w:szCs w:val="24"/>
        </w:rPr>
        <w:t xml:space="preserve"> </w:t>
      </w:r>
      <w:r w:rsidR="002F23F8">
        <w:rPr>
          <w:rFonts w:ascii="Tahoma" w:hAnsi="Tahoma" w:cs="Tahoma"/>
          <w:szCs w:val="24"/>
        </w:rPr>
        <w:t>p</w:t>
      </w:r>
      <w:r>
        <w:rPr>
          <w:rFonts w:ascii="Tahoma" w:hAnsi="Tahoma" w:cs="Tahoma"/>
          <w:szCs w:val="24"/>
        </w:rPr>
        <w:t>rog</w:t>
      </w:r>
      <w:r w:rsidR="002F23F8">
        <w:rPr>
          <w:rFonts w:ascii="Tahoma" w:hAnsi="Tahoma" w:cs="Tahoma"/>
          <w:szCs w:val="24"/>
        </w:rPr>
        <w:t>nosis s</w:t>
      </w:r>
      <w:r w:rsidR="00B55F18">
        <w:rPr>
          <w:rFonts w:ascii="Tahoma" w:hAnsi="Tahoma" w:cs="Tahoma"/>
          <w:szCs w:val="24"/>
        </w:rPr>
        <w:t>tatement.  There was a joint Letter of Instruction to the causation experts.  Reports would be received and questions could be put to th</w:t>
      </w:r>
      <w:r w:rsidR="0070731F">
        <w:rPr>
          <w:rFonts w:ascii="Tahoma" w:hAnsi="Tahoma" w:cs="Tahoma"/>
          <w:szCs w:val="24"/>
        </w:rPr>
        <w:t>e expert</w:t>
      </w:r>
      <w:r w:rsidR="002F23F8">
        <w:rPr>
          <w:rFonts w:ascii="Tahoma" w:hAnsi="Tahoma" w:cs="Tahoma"/>
          <w:szCs w:val="24"/>
        </w:rPr>
        <w:t>. A f</w:t>
      </w:r>
      <w:r w:rsidR="0070731F">
        <w:rPr>
          <w:rFonts w:ascii="Tahoma" w:hAnsi="Tahoma" w:cs="Tahoma"/>
          <w:szCs w:val="24"/>
        </w:rPr>
        <w:t xml:space="preserve">urther advantage was that the Defendants sorted </w:t>
      </w:r>
      <w:r w:rsidR="002F23F8">
        <w:rPr>
          <w:rFonts w:ascii="Tahoma" w:hAnsi="Tahoma" w:cs="Tahoma"/>
          <w:szCs w:val="24"/>
        </w:rPr>
        <w:t xml:space="preserve">and paginated </w:t>
      </w:r>
      <w:r w:rsidR="0070731F">
        <w:rPr>
          <w:rFonts w:ascii="Tahoma" w:hAnsi="Tahoma" w:cs="Tahoma"/>
          <w:szCs w:val="24"/>
        </w:rPr>
        <w:t>the medical records and then sent them to the Claimants who prepared a Chronology</w:t>
      </w:r>
      <w:r w:rsidR="006D7FAD">
        <w:rPr>
          <w:rFonts w:ascii="Tahoma" w:hAnsi="Tahoma" w:cs="Tahoma"/>
          <w:szCs w:val="24"/>
        </w:rPr>
        <w:t>.  The Defendant’s then did all the photocopying</w:t>
      </w:r>
      <w:r w:rsidR="002F23F8">
        <w:rPr>
          <w:rFonts w:ascii="Tahoma" w:hAnsi="Tahoma" w:cs="Tahoma"/>
          <w:szCs w:val="24"/>
        </w:rPr>
        <w:t>.</w:t>
      </w:r>
      <w:r w:rsidR="006D7FAD">
        <w:rPr>
          <w:rFonts w:ascii="Tahoma" w:hAnsi="Tahoma" w:cs="Tahoma"/>
          <w:szCs w:val="24"/>
        </w:rPr>
        <w:t xml:space="preserve">  </w:t>
      </w:r>
      <w:r w:rsidR="002F23F8">
        <w:rPr>
          <w:rFonts w:ascii="Tahoma" w:hAnsi="Tahoma" w:cs="Tahoma"/>
          <w:szCs w:val="24"/>
        </w:rPr>
        <w:t xml:space="preserve">The aim was to get </w:t>
      </w:r>
      <w:r w:rsidR="006D7FAD">
        <w:rPr>
          <w:rFonts w:ascii="Tahoma" w:hAnsi="Tahoma" w:cs="Tahoma"/>
          <w:szCs w:val="24"/>
        </w:rPr>
        <w:t>the Schedule of Loss ready one month after the report</w:t>
      </w:r>
      <w:r w:rsidR="002F23F8">
        <w:rPr>
          <w:rFonts w:ascii="Tahoma" w:hAnsi="Tahoma" w:cs="Tahoma"/>
          <w:szCs w:val="24"/>
        </w:rPr>
        <w:t xml:space="preserve"> for </w:t>
      </w:r>
      <w:r w:rsidR="006D7FAD">
        <w:rPr>
          <w:rFonts w:ascii="Tahoma" w:hAnsi="Tahoma" w:cs="Tahoma"/>
          <w:szCs w:val="24"/>
        </w:rPr>
        <w:t>negotiation</w:t>
      </w:r>
      <w:r w:rsidR="002F23F8">
        <w:rPr>
          <w:rFonts w:ascii="Tahoma" w:hAnsi="Tahoma" w:cs="Tahoma"/>
          <w:szCs w:val="24"/>
        </w:rPr>
        <w:t>.</w:t>
      </w:r>
      <w:r w:rsidR="006D7FAD">
        <w:rPr>
          <w:rFonts w:ascii="Tahoma" w:hAnsi="Tahoma" w:cs="Tahoma"/>
          <w:szCs w:val="24"/>
        </w:rPr>
        <w:t xml:space="preserve">  </w:t>
      </w:r>
    </w:p>
    <w:p w:rsidR="00BB26D7" w:rsidRDefault="00BB26D7" w:rsidP="0029614A">
      <w:pPr>
        <w:spacing w:line="276" w:lineRule="auto"/>
        <w:rPr>
          <w:rFonts w:ascii="Tahoma" w:hAnsi="Tahoma" w:cs="Tahoma"/>
          <w:szCs w:val="24"/>
        </w:rPr>
      </w:pPr>
    </w:p>
    <w:p w:rsidR="003F1C34" w:rsidRDefault="000F38F7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In the </w:t>
      </w:r>
      <w:r w:rsidR="006D7FAD">
        <w:rPr>
          <w:rFonts w:ascii="Tahoma" w:hAnsi="Tahoma" w:cs="Tahoma"/>
          <w:szCs w:val="24"/>
        </w:rPr>
        <w:t xml:space="preserve">majority of </w:t>
      </w:r>
      <w:r>
        <w:rPr>
          <w:rFonts w:ascii="Tahoma" w:hAnsi="Tahoma" w:cs="Tahoma"/>
          <w:szCs w:val="24"/>
        </w:rPr>
        <w:t xml:space="preserve">cases breach of duty would be admitted but there were a handful that needed breach of duty reports.  </w:t>
      </w:r>
      <w:r w:rsidR="002F23F8">
        <w:rPr>
          <w:rFonts w:ascii="Tahoma" w:hAnsi="Tahoma" w:cs="Tahoma"/>
          <w:szCs w:val="24"/>
        </w:rPr>
        <w:t>Overall there was one third of the Claimants that had negative cases.</w:t>
      </w:r>
    </w:p>
    <w:p w:rsidR="002F23F8" w:rsidRDefault="002F23F8" w:rsidP="0029614A">
      <w:pPr>
        <w:spacing w:line="276" w:lineRule="auto"/>
        <w:rPr>
          <w:rFonts w:ascii="Tahoma" w:hAnsi="Tahoma" w:cs="Tahoma"/>
          <w:szCs w:val="24"/>
        </w:rPr>
      </w:pPr>
    </w:p>
    <w:p w:rsidR="001B0531" w:rsidRDefault="003F1C34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Disclosure of medical records was a nightmar</w:t>
      </w:r>
      <w:r w:rsidR="00B503D3">
        <w:rPr>
          <w:rFonts w:ascii="Tahoma" w:hAnsi="Tahoma" w:cs="Tahoma"/>
          <w:szCs w:val="24"/>
        </w:rPr>
        <w:t xml:space="preserve">e because Dr Rowlands practiced in two hospitals Aintree and Liverpool Womens and notes would get </w:t>
      </w:r>
      <w:r w:rsidR="001B0531">
        <w:rPr>
          <w:rFonts w:ascii="Tahoma" w:hAnsi="Tahoma" w:cs="Tahoma"/>
          <w:szCs w:val="24"/>
        </w:rPr>
        <w:t xml:space="preserve">mixed up between the two hospitals so it was </w:t>
      </w:r>
      <w:r w:rsidR="002F23F8">
        <w:rPr>
          <w:rFonts w:ascii="Tahoma" w:hAnsi="Tahoma" w:cs="Tahoma"/>
          <w:szCs w:val="24"/>
        </w:rPr>
        <w:t>difficult</w:t>
      </w:r>
      <w:r w:rsidR="001B0531">
        <w:rPr>
          <w:rFonts w:ascii="Tahoma" w:hAnsi="Tahoma" w:cs="Tahoma"/>
          <w:szCs w:val="24"/>
        </w:rPr>
        <w:t xml:space="preserve"> to establish whether a complete set had been disclosed.</w:t>
      </w:r>
    </w:p>
    <w:p w:rsidR="001B0531" w:rsidRDefault="001B0531" w:rsidP="0029614A">
      <w:pPr>
        <w:spacing w:line="276" w:lineRule="auto"/>
        <w:rPr>
          <w:rFonts w:ascii="Tahoma" w:hAnsi="Tahoma" w:cs="Tahoma"/>
          <w:szCs w:val="24"/>
        </w:rPr>
      </w:pPr>
    </w:p>
    <w:p w:rsidR="00A91B86" w:rsidRDefault="001B0531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Several support groups were set up</w:t>
      </w:r>
      <w:r w:rsidR="002F23F8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 xml:space="preserve"> The Claimant’s themselves were Co-</w:t>
      </w:r>
      <w:r w:rsidR="00BB26D7">
        <w:rPr>
          <w:rFonts w:ascii="Tahoma" w:hAnsi="Tahoma" w:cs="Tahoma"/>
          <w:szCs w:val="24"/>
        </w:rPr>
        <w:t>o</w:t>
      </w:r>
      <w:r>
        <w:rPr>
          <w:rFonts w:ascii="Tahoma" w:hAnsi="Tahoma" w:cs="Tahoma"/>
          <w:szCs w:val="24"/>
        </w:rPr>
        <w:t>rdinators</w:t>
      </w:r>
      <w:r w:rsidR="00F941DD">
        <w:rPr>
          <w:rFonts w:ascii="Tahoma" w:hAnsi="Tahoma" w:cs="Tahoma"/>
          <w:szCs w:val="24"/>
        </w:rPr>
        <w:t>.  There was an exch</w:t>
      </w:r>
      <w:r w:rsidR="002F23F8">
        <w:rPr>
          <w:rFonts w:ascii="Tahoma" w:hAnsi="Tahoma" w:cs="Tahoma"/>
          <w:szCs w:val="24"/>
        </w:rPr>
        <w:t>ange of information and the NHS</w:t>
      </w:r>
      <w:r w:rsidR="00F941DD">
        <w:rPr>
          <w:rFonts w:ascii="Tahoma" w:hAnsi="Tahoma" w:cs="Tahoma"/>
          <w:szCs w:val="24"/>
        </w:rPr>
        <w:t xml:space="preserve">LA paid for the expenses of the </w:t>
      </w:r>
      <w:r w:rsidR="00F941DD">
        <w:rPr>
          <w:rFonts w:ascii="Tahoma" w:hAnsi="Tahoma" w:cs="Tahoma"/>
          <w:szCs w:val="24"/>
        </w:rPr>
        <w:lastRenderedPageBreak/>
        <w:t>support groups.  Many experts came to give them talks</w:t>
      </w:r>
      <w:r w:rsidR="002F23F8">
        <w:rPr>
          <w:rFonts w:ascii="Tahoma" w:hAnsi="Tahoma" w:cs="Tahoma"/>
          <w:szCs w:val="24"/>
        </w:rPr>
        <w:t>. T</w:t>
      </w:r>
      <w:r w:rsidR="00F941DD">
        <w:rPr>
          <w:rFonts w:ascii="Tahoma" w:hAnsi="Tahoma" w:cs="Tahoma"/>
          <w:szCs w:val="24"/>
        </w:rPr>
        <w:t>he</w:t>
      </w:r>
      <w:r w:rsidR="002F23F8">
        <w:rPr>
          <w:rFonts w:ascii="Tahoma" w:hAnsi="Tahoma" w:cs="Tahoma"/>
          <w:szCs w:val="24"/>
        </w:rPr>
        <w:t>re</w:t>
      </w:r>
      <w:r w:rsidR="00F941DD">
        <w:rPr>
          <w:rFonts w:ascii="Tahoma" w:hAnsi="Tahoma" w:cs="Tahoma"/>
          <w:szCs w:val="24"/>
        </w:rPr>
        <w:t xml:space="preserve"> were </w:t>
      </w:r>
      <w:r w:rsidR="002F23F8">
        <w:rPr>
          <w:rFonts w:ascii="Tahoma" w:hAnsi="Tahoma" w:cs="Tahoma"/>
          <w:szCs w:val="24"/>
        </w:rPr>
        <w:t xml:space="preserve">also </w:t>
      </w:r>
      <w:r w:rsidR="00F941DD">
        <w:rPr>
          <w:rFonts w:ascii="Tahoma" w:hAnsi="Tahoma" w:cs="Tahoma"/>
          <w:szCs w:val="24"/>
        </w:rPr>
        <w:t>commercial organisations</w:t>
      </w:r>
      <w:r w:rsidR="002F23F8">
        <w:rPr>
          <w:rFonts w:ascii="Tahoma" w:hAnsi="Tahoma" w:cs="Tahoma"/>
          <w:szCs w:val="24"/>
        </w:rPr>
        <w:t xml:space="preserve"> e.g.</w:t>
      </w:r>
      <w:r w:rsidR="0029614A">
        <w:rPr>
          <w:rFonts w:ascii="Tahoma" w:hAnsi="Tahoma" w:cs="Tahoma"/>
          <w:szCs w:val="24"/>
        </w:rPr>
        <w:t xml:space="preserve"> </w:t>
      </w:r>
      <w:r w:rsidR="002F23F8">
        <w:rPr>
          <w:rFonts w:ascii="Tahoma" w:hAnsi="Tahoma" w:cs="Tahoma"/>
          <w:szCs w:val="24"/>
        </w:rPr>
        <w:t xml:space="preserve">Tena Lady and </w:t>
      </w:r>
      <w:r w:rsidR="00F941DD">
        <w:rPr>
          <w:rFonts w:ascii="Tahoma" w:hAnsi="Tahoma" w:cs="Tahoma"/>
          <w:szCs w:val="24"/>
        </w:rPr>
        <w:t>nursing experts</w:t>
      </w:r>
    </w:p>
    <w:p w:rsidR="002F23F8" w:rsidRDefault="002F23F8" w:rsidP="0029614A">
      <w:pPr>
        <w:spacing w:line="276" w:lineRule="auto"/>
        <w:rPr>
          <w:rFonts w:ascii="Tahoma" w:hAnsi="Tahoma" w:cs="Tahoma"/>
          <w:szCs w:val="24"/>
        </w:rPr>
      </w:pPr>
    </w:p>
    <w:p w:rsidR="0029614A" w:rsidRDefault="00F941DD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As far as the time frame is concerned</w:t>
      </w:r>
      <w:r w:rsidR="00F6730F">
        <w:rPr>
          <w:rFonts w:ascii="Tahoma" w:hAnsi="Tahoma" w:cs="Tahoma"/>
          <w:szCs w:val="24"/>
        </w:rPr>
        <w:t xml:space="preserve"> in February 2014 there are still 250 cases that have not yet been resolved so in fact only half the cases have been resolved since 2010</w:t>
      </w:r>
      <w:r w:rsidR="002F23F8">
        <w:rPr>
          <w:rFonts w:ascii="Tahoma" w:hAnsi="Tahoma" w:cs="Tahoma"/>
          <w:szCs w:val="24"/>
        </w:rPr>
        <w:t>. It</w:t>
      </w:r>
      <w:r w:rsidR="00F6730F">
        <w:rPr>
          <w:rFonts w:ascii="Tahoma" w:hAnsi="Tahoma" w:cs="Tahoma"/>
          <w:szCs w:val="24"/>
        </w:rPr>
        <w:t xml:space="preserve"> is taking a lot longer than anticipated.  Obviously there are benefits to the Claimants for this type of settlement</w:t>
      </w:r>
      <w:r w:rsidR="0029614A">
        <w:rPr>
          <w:rFonts w:ascii="Tahoma" w:hAnsi="Tahoma" w:cs="Tahoma"/>
          <w:szCs w:val="24"/>
        </w:rPr>
        <w:t>. T</w:t>
      </w:r>
      <w:r w:rsidR="00F6730F">
        <w:rPr>
          <w:rFonts w:ascii="Tahoma" w:hAnsi="Tahoma" w:cs="Tahoma"/>
          <w:szCs w:val="24"/>
        </w:rPr>
        <w:t xml:space="preserve">here’s no </w:t>
      </w:r>
      <w:r w:rsidR="00CE5514">
        <w:rPr>
          <w:rFonts w:ascii="Tahoma" w:hAnsi="Tahoma" w:cs="Tahoma"/>
          <w:szCs w:val="24"/>
        </w:rPr>
        <w:t>adversarial process</w:t>
      </w:r>
      <w:r w:rsidR="002F23F8">
        <w:rPr>
          <w:rFonts w:ascii="Tahoma" w:hAnsi="Tahoma" w:cs="Tahoma"/>
          <w:szCs w:val="24"/>
        </w:rPr>
        <w:t xml:space="preserve"> and </w:t>
      </w:r>
      <w:r w:rsidR="00CE5514">
        <w:rPr>
          <w:rFonts w:ascii="Tahoma" w:hAnsi="Tahoma" w:cs="Tahoma"/>
          <w:szCs w:val="24"/>
        </w:rPr>
        <w:t>they don’t have to multiple expert examinations.  The</w:t>
      </w:r>
      <w:r w:rsidR="0029614A">
        <w:rPr>
          <w:rFonts w:ascii="Tahoma" w:hAnsi="Tahoma" w:cs="Tahoma"/>
          <w:szCs w:val="24"/>
        </w:rPr>
        <w:t>re</w:t>
      </w:r>
      <w:r w:rsidR="00CE5514">
        <w:rPr>
          <w:rFonts w:ascii="Tahoma" w:hAnsi="Tahoma" w:cs="Tahoma"/>
          <w:szCs w:val="24"/>
        </w:rPr>
        <w:t xml:space="preserve"> are interim payments</w:t>
      </w:r>
      <w:r w:rsidR="0029614A">
        <w:rPr>
          <w:rFonts w:ascii="Tahoma" w:hAnsi="Tahoma" w:cs="Tahoma"/>
          <w:szCs w:val="24"/>
        </w:rPr>
        <w:t xml:space="preserve"> of damages </w:t>
      </w:r>
      <w:r w:rsidR="00CE5514">
        <w:rPr>
          <w:rFonts w:ascii="Tahoma" w:hAnsi="Tahoma" w:cs="Tahoma"/>
          <w:szCs w:val="24"/>
        </w:rPr>
        <w:t>f</w:t>
      </w:r>
      <w:r w:rsidR="006B3BA6">
        <w:rPr>
          <w:rFonts w:ascii="Tahoma" w:hAnsi="Tahoma" w:cs="Tahoma"/>
          <w:szCs w:val="24"/>
        </w:rPr>
        <w:t>or the clients</w:t>
      </w:r>
      <w:r w:rsidR="0029614A">
        <w:rPr>
          <w:rFonts w:ascii="Tahoma" w:hAnsi="Tahoma" w:cs="Tahoma"/>
          <w:szCs w:val="24"/>
        </w:rPr>
        <w:t xml:space="preserve"> and</w:t>
      </w:r>
      <w:r w:rsidR="006B3BA6">
        <w:rPr>
          <w:rFonts w:ascii="Tahoma" w:hAnsi="Tahoma" w:cs="Tahoma"/>
          <w:szCs w:val="24"/>
        </w:rPr>
        <w:t xml:space="preserve"> the support </w:t>
      </w:r>
      <w:r w:rsidR="0029614A">
        <w:rPr>
          <w:rFonts w:ascii="Tahoma" w:hAnsi="Tahoma" w:cs="Tahoma"/>
          <w:szCs w:val="24"/>
        </w:rPr>
        <w:t xml:space="preserve">network.  </w:t>
      </w:r>
    </w:p>
    <w:p w:rsidR="009E4F0B" w:rsidRPr="000C5719" w:rsidRDefault="00973A90" w:rsidP="0029614A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As for Dr Rowlands there has been a GMC investigation and restrictions have been put on his </w:t>
      </w:r>
      <w:r w:rsidR="0029614A">
        <w:rPr>
          <w:rFonts w:ascii="Tahoma" w:hAnsi="Tahoma" w:cs="Tahoma"/>
          <w:szCs w:val="24"/>
        </w:rPr>
        <w:t>registration</w:t>
      </w:r>
      <w:r w:rsidR="00B726F7">
        <w:rPr>
          <w:rFonts w:ascii="Tahoma" w:hAnsi="Tahoma" w:cs="Tahoma"/>
          <w:szCs w:val="24"/>
        </w:rPr>
        <w:t xml:space="preserve"> but </w:t>
      </w:r>
      <w:r w:rsidR="0029614A">
        <w:rPr>
          <w:rFonts w:ascii="Tahoma" w:hAnsi="Tahoma" w:cs="Tahoma"/>
          <w:szCs w:val="24"/>
        </w:rPr>
        <w:t xml:space="preserve">apparently </w:t>
      </w:r>
      <w:r w:rsidR="00B726F7">
        <w:rPr>
          <w:rFonts w:ascii="Tahoma" w:hAnsi="Tahoma" w:cs="Tahoma"/>
          <w:szCs w:val="24"/>
        </w:rPr>
        <w:t>he is still working although it’s uncertain as to his whereabouts.</w:t>
      </w:r>
      <w:r>
        <w:rPr>
          <w:rFonts w:ascii="Tahoma" w:hAnsi="Tahoma" w:cs="Tahoma"/>
          <w:szCs w:val="24"/>
        </w:rPr>
        <w:t xml:space="preserve"> </w:t>
      </w:r>
      <w:r w:rsidR="00B55F18">
        <w:rPr>
          <w:rFonts w:ascii="Tahoma" w:hAnsi="Tahoma" w:cs="Tahoma"/>
          <w:szCs w:val="24"/>
        </w:rPr>
        <w:t xml:space="preserve"> </w:t>
      </w:r>
    </w:p>
    <w:sectPr w:rsidR="009E4F0B" w:rsidRPr="000C5719">
      <w:footerReference w:type="default" r:id="rId7"/>
      <w:footerReference w:type="first" r:id="rId8"/>
      <w:pgSz w:w="11906" w:h="16838"/>
      <w:pgMar w:top="1440" w:right="1133" w:bottom="1440" w:left="1134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C7" w:rsidRDefault="007878C7">
      <w:r>
        <w:separator/>
      </w:r>
    </w:p>
  </w:endnote>
  <w:endnote w:type="continuationSeparator" w:id="0">
    <w:p w:rsidR="007878C7" w:rsidRDefault="007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98" w:rsidRDefault="001C6198">
    <w:pPr>
      <w:pStyle w:val="Footer"/>
      <w:tabs>
        <w:tab w:val="clear" w:pos="8640"/>
        <w:tab w:val="right" w:pos="8280"/>
      </w:tabs>
      <w:rPr>
        <w:noProof/>
      </w:rPr>
    </w:pPr>
    <w:r>
      <w:rPr>
        <w:noProof/>
      </w:rPr>
      <w:t xml:space="preserve">Document Ref : </w:t>
    </w:r>
    <w:r w:rsidR="003B1954">
      <w:rPr>
        <w:noProof/>
      </w:rPr>
      <w:t>2147774980</w:t>
    </w:r>
    <w:r>
      <w:rPr>
        <w:noProof/>
      </w:rPr>
      <w:tab/>
      <w:t xml:space="preserve">Page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623807">
      <w:rPr>
        <w:rStyle w:val="PageNumber"/>
        <w:noProof/>
      </w:rPr>
      <w:t>3</w:t>
    </w:r>
    <w:r>
      <w:rPr>
        <w:rStyle w:val="PageNumber"/>
        <w:noProof/>
      </w:rPr>
      <w:fldChar w:fldCharType="end"/>
    </w:r>
    <w:r>
      <w:rPr>
        <w:rStyle w:val="PageNumber"/>
        <w:noProof/>
      </w:rPr>
      <w:t xml:space="preserve"> of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623807">
      <w:rPr>
        <w:rStyle w:val="PageNumber"/>
        <w:noProof/>
      </w:rPr>
      <w:t>3</w:t>
    </w:r>
    <w:r>
      <w:rPr>
        <w:rStyle w:val="PageNumber"/>
        <w:noProof/>
      </w:rPr>
      <w:fldChar w:fldCharType="end"/>
    </w:r>
    <w:r>
      <w:rPr>
        <w:rStyle w:val="PageNumber"/>
        <w:noProof/>
      </w:rPr>
      <w:tab/>
    </w:r>
    <w:r w:rsidR="003B1954">
      <w:rPr>
        <w:rStyle w:val="PageNumber"/>
        <w:noProof/>
      </w:rPr>
      <w:t>OFFPR</w:t>
    </w:r>
    <w:r>
      <w:rPr>
        <w:rStyle w:val="PageNumber"/>
        <w:noProof/>
      </w:rPr>
      <w:t>/</w:t>
    </w:r>
    <w:r w:rsidR="003B1954">
      <w:rPr>
        <w:rStyle w:val="PageNumber"/>
        <w:noProof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98" w:rsidRDefault="001C6198">
    <w:pPr>
      <w:pStyle w:val="Footer"/>
      <w:tabs>
        <w:tab w:val="clear" w:pos="8640"/>
        <w:tab w:val="right" w:pos="8280"/>
      </w:tabs>
      <w:rPr>
        <w:sz w:val="16"/>
      </w:rPr>
    </w:pPr>
    <w:r>
      <w:rPr>
        <w:noProof/>
        <w:sz w:val="16"/>
      </w:rPr>
      <w:t xml:space="preserve">Document Ref : </w:t>
    </w:r>
    <w:r w:rsidR="003B1954">
      <w:rPr>
        <w:noProof/>
        <w:sz w:val="16"/>
      </w:rPr>
      <w:t>2147774980</w:t>
    </w:r>
    <w:r>
      <w:rPr>
        <w:noProof/>
      </w:rPr>
      <w:tab/>
      <w:t xml:space="preserve">Page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623807">
      <w:rPr>
        <w:rStyle w:val="PageNumber"/>
        <w:noProof/>
      </w:rPr>
      <w:t>1</w:t>
    </w:r>
    <w:r>
      <w:rPr>
        <w:rStyle w:val="PageNumber"/>
        <w:noProof/>
      </w:rPr>
      <w:fldChar w:fldCharType="end"/>
    </w:r>
    <w:r>
      <w:rPr>
        <w:rStyle w:val="PageNumber"/>
        <w:noProof/>
      </w:rPr>
      <w:t xml:space="preserve"> of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623807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</w:rPr>
      <w:tab/>
    </w:r>
    <w:r w:rsidR="003B1954">
      <w:rPr>
        <w:rStyle w:val="PageNumber"/>
        <w:noProof/>
        <w:sz w:val="16"/>
      </w:rPr>
      <w:t>OFFPR</w:t>
    </w:r>
    <w:r>
      <w:rPr>
        <w:rStyle w:val="PageNumber"/>
        <w:noProof/>
        <w:sz w:val="16"/>
      </w:rPr>
      <w:t>/</w:t>
    </w:r>
    <w:r w:rsidR="003B1954">
      <w:rPr>
        <w:rStyle w:val="PageNumber"/>
        <w:noProof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C7" w:rsidRDefault="007878C7">
      <w:r>
        <w:separator/>
      </w:r>
    </w:p>
  </w:footnote>
  <w:footnote w:type="continuationSeparator" w:id="0">
    <w:p w:rsidR="007878C7" w:rsidRDefault="0078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2147413978"/>
    <w:docVar w:name="BASEPRECID" w:val="3"/>
    <w:docVar w:name="BASEPRECTYPE" w:val="BLANK"/>
    <w:docVar w:name="CLIENTID" w:val="2147166554"/>
    <w:docVar w:name="COMPANYID" w:val="2122615308"/>
    <w:docVar w:name="DOCID" w:val="2147774980"/>
    <w:docVar w:name="DOCIDEX" w:val="2147166554\2147407891\Out\2147774980.1.doc"/>
    <w:docVar w:name="DocRef" w:val=" "/>
    <w:docVar w:name="EDITION" w:val="FM"/>
    <w:docVar w:name="FILEID" w:val="2147407891"/>
    <w:docVar w:name="MatterID" w:val="-1054534507"/>
    <w:docVar w:name="SERIALNO" w:val="11248"/>
    <w:docVar w:name="VERSIONID" w:val="9e54687e-eb5c-4e1d-8eeb-70a83cec396d"/>
    <w:docVar w:name="VERSIONLABEL" w:val="1"/>
  </w:docVars>
  <w:rsids>
    <w:rsidRoot w:val="00F25C80"/>
    <w:rsid w:val="00011F5F"/>
    <w:rsid w:val="00096560"/>
    <w:rsid w:val="000C4237"/>
    <w:rsid w:val="000C5719"/>
    <w:rsid w:val="000F38F7"/>
    <w:rsid w:val="00103D96"/>
    <w:rsid w:val="001B0531"/>
    <w:rsid w:val="001C6198"/>
    <w:rsid w:val="001E2658"/>
    <w:rsid w:val="0029614A"/>
    <w:rsid w:val="002A203B"/>
    <w:rsid w:val="002A64EE"/>
    <w:rsid w:val="002E69D5"/>
    <w:rsid w:val="002F23F8"/>
    <w:rsid w:val="00321EEB"/>
    <w:rsid w:val="003A4A87"/>
    <w:rsid w:val="003B1954"/>
    <w:rsid w:val="003F1C34"/>
    <w:rsid w:val="00407754"/>
    <w:rsid w:val="00436CDD"/>
    <w:rsid w:val="004B7D52"/>
    <w:rsid w:val="004C3614"/>
    <w:rsid w:val="004C6AA1"/>
    <w:rsid w:val="004F66BC"/>
    <w:rsid w:val="005B4B8C"/>
    <w:rsid w:val="005C2002"/>
    <w:rsid w:val="00600A2E"/>
    <w:rsid w:val="00623807"/>
    <w:rsid w:val="00634A38"/>
    <w:rsid w:val="00695C5E"/>
    <w:rsid w:val="006B3BA6"/>
    <w:rsid w:val="006B5052"/>
    <w:rsid w:val="006D7FAD"/>
    <w:rsid w:val="00707106"/>
    <w:rsid w:val="0070731F"/>
    <w:rsid w:val="007723DA"/>
    <w:rsid w:val="00777494"/>
    <w:rsid w:val="00782F2F"/>
    <w:rsid w:val="007878C7"/>
    <w:rsid w:val="00796168"/>
    <w:rsid w:val="007E411F"/>
    <w:rsid w:val="0085003D"/>
    <w:rsid w:val="00854A78"/>
    <w:rsid w:val="00882E92"/>
    <w:rsid w:val="0089752A"/>
    <w:rsid w:val="00937CE2"/>
    <w:rsid w:val="00973A90"/>
    <w:rsid w:val="009E4F0B"/>
    <w:rsid w:val="00A00538"/>
    <w:rsid w:val="00A91B86"/>
    <w:rsid w:val="00B503D3"/>
    <w:rsid w:val="00B55642"/>
    <w:rsid w:val="00B55F18"/>
    <w:rsid w:val="00B5795E"/>
    <w:rsid w:val="00B726F7"/>
    <w:rsid w:val="00B96647"/>
    <w:rsid w:val="00BB26D7"/>
    <w:rsid w:val="00C46393"/>
    <w:rsid w:val="00CC366A"/>
    <w:rsid w:val="00CE5514"/>
    <w:rsid w:val="00D5099D"/>
    <w:rsid w:val="00D95327"/>
    <w:rsid w:val="00DD0998"/>
    <w:rsid w:val="00DE0B7C"/>
    <w:rsid w:val="00E34A1E"/>
    <w:rsid w:val="00E54A5E"/>
    <w:rsid w:val="00EE6DC6"/>
    <w:rsid w:val="00F10755"/>
    <w:rsid w:val="00F25C80"/>
    <w:rsid w:val="00F6730F"/>
    <w:rsid w:val="00F9024F"/>
    <w:rsid w:val="00F941DD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 Header"/>
    <w:basedOn w:val="List2"/>
    <w:pPr>
      <w:spacing w:after="240" w:line="240" w:lineRule="atLeast"/>
      <w:ind w:left="720" w:firstLine="0"/>
    </w:pPr>
    <w:rPr>
      <w:b/>
      <w:sz w:val="44"/>
    </w:rPr>
  </w:style>
  <w:style w:type="paragraph" w:styleId="List2">
    <w:name w:val="List 2"/>
    <w:basedOn w:val="Normal"/>
    <w:pPr>
      <w:ind w:left="566" w:hanging="283"/>
    </w:pPr>
  </w:style>
  <w:style w:type="paragraph" w:customStyle="1" w:styleId="SubHeading">
    <w:name w:val="SubHeading"/>
    <w:basedOn w:val="Heading5"/>
    <w:pPr>
      <w:keepNext/>
      <w:keepLines/>
      <w:spacing w:before="0" w:after="0" w:line="240" w:lineRule="atLeast"/>
    </w:pPr>
    <w:rPr>
      <w:b/>
      <w:kern w:val="2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 Header"/>
    <w:basedOn w:val="List2"/>
    <w:pPr>
      <w:spacing w:after="240" w:line="240" w:lineRule="atLeast"/>
      <w:ind w:left="720" w:firstLine="0"/>
    </w:pPr>
    <w:rPr>
      <w:b/>
      <w:sz w:val="44"/>
    </w:rPr>
  </w:style>
  <w:style w:type="paragraph" w:styleId="List2">
    <w:name w:val="List 2"/>
    <w:basedOn w:val="Normal"/>
    <w:pPr>
      <w:ind w:left="566" w:hanging="283"/>
    </w:pPr>
  </w:style>
  <w:style w:type="paragraph" w:customStyle="1" w:styleId="SubHeading">
    <w:name w:val="SubHeading"/>
    <w:basedOn w:val="Heading5"/>
    <w:pPr>
      <w:keepNext/>
      <w:keepLines/>
      <w:spacing w:before="0" w:after="0" w:line="240" w:lineRule="atLeast"/>
    </w:pPr>
    <w:rPr>
      <w:b/>
      <w:kern w:val="2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aGummer\Local%20Settings\Application%20Data\FWBS\OMS\0\FS01omsmc\OMSSL\Precedents\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3.dot</Template>
  <TotalTime>0</TotalTime>
  <Pages>3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 Walker Consutancy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Gummer</dc:creator>
  <cp:lastModifiedBy>Kelly Barton</cp:lastModifiedBy>
  <cp:revision>2</cp:revision>
  <dcterms:created xsi:type="dcterms:W3CDTF">2014-03-18T13:02:00Z</dcterms:created>
  <dcterms:modified xsi:type="dcterms:W3CDTF">2014-03-18T13:02:00Z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ID">
    <vt:i4>2122615308</vt:i4>
  </property>
  <property fmtid="{D5CDD505-2E9C-101B-9397-08002B2CF9AE}" pid="3" name="SERIALNO">
    <vt:i4>11248</vt:i4>
  </property>
  <property fmtid="{D5CDD505-2E9C-101B-9397-08002B2CF9AE}" pid="4" name="EDITION">
    <vt:lpwstr>FM</vt:lpwstr>
  </property>
  <property fmtid="{D5CDD505-2E9C-101B-9397-08002B2CF9AE}" pid="5" name="CLIENTID">
    <vt:i4>2147166554</vt:i4>
  </property>
  <property fmtid="{D5CDD505-2E9C-101B-9397-08002B2CF9AE}" pid="6" name="FILEID">
    <vt:i4>2147407891</vt:i4>
  </property>
  <property fmtid="{D5CDD505-2E9C-101B-9397-08002B2CF9AE}" pid="7" name="ASSOCID">
    <vt:i4>2147413978</vt:i4>
  </property>
  <property fmtid="{D5CDD505-2E9C-101B-9397-08002B2CF9AE}" pid="8" name="BASEPRECID">
    <vt:i4>3</vt:i4>
  </property>
  <property fmtid="{D5CDD505-2E9C-101B-9397-08002B2CF9AE}" pid="9" name="BASEPRECTYPE">
    <vt:lpwstr>BLANK</vt:lpwstr>
  </property>
  <property fmtid="{D5CDD505-2E9C-101B-9397-08002B2CF9AE}" pid="10" name="DOCID">
    <vt:r8>2147774980</vt:r8>
  </property>
  <property fmtid="{D5CDD505-2E9C-101B-9397-08002B2CF9AE}" pid="11" name="VERSIONID">
    <vt:lpwstr>9e54687e-eb5c-4e1d-8eeb-70a83cec396d</vt:lpwstr>
  </property>
  <property fmtid="{D5CDD505-2E9C-101B-9397-08002B2CF9AE}" pid="12" name="VERSIONLABEL">
    <vt:lpwstr>1</vt:lpwstr>
  </property>
  <property fmtid="{D5CDD505-2E9C-101B-9397-08002B2CF9AE}" pid="13" name="DOCIDEX">
    <vt:lpwstr>2147166554\2147407891\Out\2147774980.1.doc</vt:lpwstr>
  </property>
</Properties>
</file>