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EF" w:rsidRPr="00BA3A53" w:rsidRDefault="00BA3A53">
      <w:pPr>
        <w:tabs>
          <w:tab w:val="right" w:pos="8731"/>
        </w:tabs>
        <w:jc w:val="both"/>
        <w:rPr>
          <w:rFonts w:ascii="Arial" w:hAnsi="Arial" w:cs="Arial"/>
          <w:b/>
        </w:rPr>
      </w:pPr>
      <w:bookmarkStart w:id="0" w:name="_GoBack"/>
      <w:bookmarkEnd w:id="0"/>
      <w:r w:rsidRPr="00BA3A53">
        <w:rPr>
          <w:rFonts w:ascii="Arial" w:hAnsi="Arial" w:cs="Arial"/>
          <w:b/>
        </w:rPr>
        <w:t xml:space="preserve">PROCEDURE </w:t>
      </w:r>
      <w:r w:rsidR="00CC116A">
        <w:rPr>
          <w:rFonts w:ascii="Arial" w:hAnsi="Arial" w:cs="Arial"/>
          <w:b/>
        </w:rPr>
        <w:t>- AVOIDING STRIKE OUT</w:t>
      </w:r>
    </w:p>
    <w:p w:rsidR="007F4CEF" w:rsidRPr="00BA3A53" w:rsidRDefault="007F4CEF">
      <w:pPr>
        <w:tabs>
          <w:tab w:val="right" w:pos="8731"/>
        </w:tabs>
        <w:jc w:val="both"/>
        <w:rPr>
          <w:rFonts w:ascii="Arial" w:hAnsi="Arial" w:cs="Arial"/>
        </w:rPr>
      </w:pPr>
    </w:p>
    <w:p w:rsidR="00BA3A53" w:rsidRPr="00BA3A53" w:rsidRDefault="00BA3A53">
      <w:pPr>
        <w:tabs>
          <w:tab w:val="right" w:pos="8731"/>
        </w:tabs>
        <w:jc w:val="both"/>
        <w:rPr>
          <w:rFonts w:ascii="Arial" w:hAnsi="Arial" w:cs="Arial"/>
          <w:b/>
        </w:rPr>
      </w:pPr>
      <w:r>
        <w:rPr>
          <w:rFonts w:ascii="Arial" w:hAnsi="Arial" w:cs="Arial"/>
          <w:b/>
        </w:rPr>
        <w:t>Introduction</w:t>
      </w:r>
    </w:p>
    <w:p w:rsidR="007F4CEF" w:rsidRDefault="007F4CEF">
      <w:pPr>
        <w:tabs>
          <w:tab w:val="right" w:pos="8731"/>
        </w:tabs>
        <w:jc w:val="both"/>
        <w:rPr>
          <w:rFonts w:ascii="Arial" w:hAnsi="Arial" w:cs="Arial"/>
        </w:rPr>
      </w:pPr>
    </w:p>
    <w:p w:rsidR="00BA3A53" w:rsidRDefault="00BA3A53">
      <w:pPr>
        <w:tabs>
          <w:tab w:val="right" w:pos="8731"/>
        </w:tabs>
        <w:jc w:val="both"/>
        <w:rPr>
          <w:rFonts w:ascii="Arial" w:hAnsi="Arial" w:cs="Arial"/>
        </w:rPr>
      </w:pPr>
      <w:r>
        <w:rPr>
          <w:rFonts w:ascii="Arial" w:hAnsi="Arial" w:cs="Arial"/>
        </w:rPr>
        <w:t>1 April 2013 saw the introduction of wide-ranging reforms affecting all aspects of civil litigation.</w:t>
      </w:r>
    </w:p>
    <w:p w:rsidR="00BA3A53" w:rsidRDefault="00BA3A53">
      <w:pPr>
        <w:tabs>
          <w:tab w:val="right" w:pos="8731"/>
        </w:tabs>
        <w:jc w:val="both"/>
        <w:rPr>
          <w:rFonts w:ascii="Arial" w:hAnsi="Arial" w:cs="Arial"/>
        </w:rPr>
      </w:pPr>
    </w:p>
    <w:p w:rsidR="00BA3A53" w:rsidRDefault="00BA3A53">
      <w:pPr>
        <w:tabs>
          <w:tab w:val="right" w:pos="8731"/>
        </w:tabs>
        <w:jc w:val="both"/>
        <w:rPr>
          <w:rFonts w:ascii="Arial" w:hAnsi="Arial" w:cs="Arial"/>
        </w:rPr>
      </w:pPr>
      <w:r>
        <w:rPr>
          <w:rFonts w:ascii="Arial" w:hAnsi="Arial" w:cs="Arial"/>
        </w:rPr>
        <w:t>The key changes to procedure concern:</w:t>
      </w:r>
    </w:p>
    <w:p w:rsidR="00BA3A53" w:rsidRDefault="00BA3A53">
      <w:pPr>
        <w:tabs>
          <w:tab w:val="right" w:pos="8731"/>
        </w:tabs>
        <w:jc w:val="both"/>
        <w:rPr>
          <w:rFonts w:ascii="Arial" w:hAnsi="Arial" w:cs="Arial"/>
        </w:rPr>
      </w:pPr>
    </w:p>
    <w:p w:rsidR="00BA3A53" w:rsidRDefault="00BA3A53" w:rsidP="00BA3A53">
      <w:pPr>
        <w:pStyle w:val="ListParagraph"/>
        <w:numPr>
          <w:ilvl w:val="0"/>
          <w:numId w:val="4"/>
        </w:numPr>
        <w:tabs>
          <w:tab w:val="right" w:pos="8731"/>
        </w:tabs>
        <w:ind w:hanging="783"/>
        <w:jc w:val="both"/>
        <w:rPr>
          <w:rFonts w:ascii="Arial" w:hAnsi="Arial" w:cs="Arial"/>
        </w:rPr>
      </w:pPr>
      <w:r>
        <w:rPr>
          <w:rFonts w:ascii="Arial" w:hAnsi="Arial" w:cs="Arial"/>
        </w:rPr>
        <w:t>Sanctions</w:t>
      </w:r>
    </w:p>
    <w:p w:rsidR="00BA3A53" w:rsidRDefault="00BA3A53" w:rsidP="00BA3A53">
      <w:pPr>
        <w:pStyle w:val="ListParagraph"/>
        <w:tabs>
          <w:tab w:val="right" w:pos="8731"/>
        </w:tabs>
        <w:ind w:left="783"/>
        <w:jc w:val="both"/>
        <w:rPr>
          <w:rFonts w:ascii="Arial" w:hAnsi="Arial" w:cs="Arial"/>
        </w:rPr>
      </w:pPr>
    </w:p>
    <w:p w:rsidR="0040274D" w:rsidRDefault="0040274D" w:rsidP="00BA3A53">
      <w:pPr>
        <w:pStyle w:val="ListParagraph"/>
        <w:numPr>
          <w:ilvl w:val="0"/>
          <w:numId w:val="4"/>
        </w:numPr>
        <w:tabs>
          <w:tab w:val="right" w:pos="8731"/>
        </w:tabs>
        <w:ind w:hanging="783"/>
        <w:jc w:val="both"/>
        <w:rPr>
          <w:rFonts w:ascii="Arial" w:hAnsi="Arial" w:cs="Arial"/>
        </w:rPr>
      </w:pPr>
      <w:r>
        <w:rPr>
          <w:rFonts w:ascii="Arial" w:hAnsi="Arial" w:cs="Arial"/>
        </w:rPr>
        <w:t>Strike Out</w:t>
      </w:r>
    </w:p>
    <w:p w:rsidR="0040274D" w:rsidRPr="0040274D" w:rsidRDefault="0040274D" w:rsidP="0040274D">
      <w:pPr>
        <w:pStyle w:val="ListParagraph"/>
        <w:rPr>
          <w:rFonts w:ascii="Arial" w:hAnsi="Arial" w:cs="Arial"/>
        </w:rPr>
      </w:pPr>
    </w:p>
    <w:p w:rsidR="0040274D" w:rsidRDefault="0040274D" w:rsidP="00BA3A53">
      <w:pPr>
        <w:pStyle w:val="ListParagraph"/>
        <w:numPr>
          <w:ilvl w:val="0"/>
          <w:numId w:val="4"/>
        </w:numPr>
        <w:tabs>
          <w:tab w:val="right" w:pos="8731"/>
        </w:tabs>
        <w:ind w:hanging="783"/>
        <w:jc w:val="both"/>
        <w:rPr>
          <w:rFonts w:ascii="Arial" w:hAnsi="Arial" w:cs="Arial"/>
        </w:rPr>
      </w:pPr>
      <w:r>
        <w:rPr>
          <w:rFonts w:ascii="Arial" w:hAnsi="Arial" w:cs="Arial"/>
        </w:rPr>
        <w:t>Relief</w:t>
      </w:r>
    </w:p>
    <w:p w:rsidR="0040274D" w:rsidRPr="0040274D" w:rsidRDefault="0040274D" w:rsidP="0040274D">
      <w:pPr>
        <w:pStyle w:val="ListParagraph"/>
        <w:rPr>
          <w:rFonts w:ascii="Arial" w:hAnsi="Arial" w:cs="Arial"/>
        </w:rPr>
      </w:pPr>
    </w:p>
    <w:p w:rsidR="00BA3A53" w:rsidRDefault="00BA3A53" w:rsidP="00BA3A53">
      <w:pPr>
        <w:pStyle w:val="ListParagraph"/>
        <w:numPr>
          <w:ilvl w:val="0"/>
          <w:numId w:val="4"/>
        </w:numPr>
        <w:tabs>
          <w:tab w:val="right" w:pos="8731"/>
        </w:tabs>
        <w:ind w:hanging="783"/>
        <w:jc w:val="both"/>
        <w:rPr>
          <w:rFonts w:ascii="Arial" w:hAnsi="Arial" w:cs="Arial"/>
        </w:rPr>
      </w:pPr>
      <w:r>
        <w:rPr>
          <w:rFonts w:ascii="Arial" w:hAnsi="Arial" w:cs="Arial"/>
        </w:rPr>
        <w:t>QOCS</w:t>
      </w:r>
    </w:p>
    <w:p w:rsidR="007F4CEF" w:rsidRPr="0040274D" w:rsidRDefault="007F4CEF" w:rsidP="0040274D">
      <w:pPr>
        <w:tabs>
          <w:tab w:val="right" w:pos="8731"/>
        </w:tabs>
        <w:jc w:val="both"/>
        <w:rPr>
          <w:rFonts w:ascii="Arial" w:hAnsi="Arial" w:cs="Arial"/>
        </w:rPr>
      </w:pPr>
    </w:p>
    <w:p w:rsidR="007F4CEF" w:rsidRPr="00BA3A53" w:rsidRDefault="00BA3A53">
      <w:pPr>
        <w:tabs>
          <w:tab w:val="right" w:pos="8731"/>
        </w:tabs>
        <w:jc w:val="both"/>
        <w:rPr>
          <w:rFonts w:ascii="Arial" w:hAnsi="Arial" w:cs="Arial"/>
          <w:b/>
        </w:rPr>
      </w:pPr>
      <w:r>
        <w:rPr>
          <w:rFonts w:ascii="Arial" w:hAnsi="Arial" w:cs="Arial"/>
          <w:b/>
        </w:rPr>
        <w:t>Sanctions</w:t>
      </w:r>
    </w:p>
    <w:p w:rsidR="007F4CEF" w:rsidRDefault="007F4CEF">
      <w:pPr>
        <w:tabs>
          <w:tab w:val="right" w:pos="8731"/>
        </w:tabs>
        <w:jc w:val="both"/>
        <w:rPr>
          <w:rFonts w:ascii="Arial" w:hAnsi="Arial" w:cs="Arial"/>
        </w:rPr>
      </w:pPr>
    </w:p>
    <w:p w:rsidR="00BA3A53" w:rsidRDefault="00BA3A53">
      <w:pPr>
        <w:tabs>
          <w:tab w:val="right" w:pos="8731"/>
        </w:tabs>
        <w:jc w:val="both"/>
        <w:rPr>
          <w:rFonts w:ascii="Arial" w:hAnsi="Arial" w:cs="Arial"/>
        </w:rPr>
      </w:pPr>
      <w:r>
        <w:rPr>
          <w:rFonts w:ascii="Arial" w:hAnsi="Arial" w:cs="Arial"/>
        </w:rPr>
        <w:t>The CPR, when introduced in 1999, provided that sanctions would take effect without further order but relief from sanctions might be given.  The relevant rules are Part 3.8 and 3.9.</w:t>
      </w:r>
    </w:p>
    <w:p w:rsidR="00BA3A53" w:rsidRDefault="00BA3A53">
      <w:pPr>
        <w:tabs>
          <w:tab w:val="right" w:pos="8731"/>
        </w:tabs>
        <w:jc w:val="both"/>
        <w:rPr>
          <w:rFonts w:ascii="Arial" w:hAnsi="Arial" w:cs="Arial"/>
        </w:rPr>
      </w:pPr>
    </w:p>
    <w:p w:rsidR="00BA3A53" w:rsidRDefault="00BA3A53">
      <w:pPr>
        <w:tabs>
          <w:tab w:val="right" w:pos="8731"/>
        </w:tabs>
        <w:jc w:val="both"/>
        <w:rPr>
          <w:rFonts w:ascii="Arial" w:hAnsi="Arial" w:cs="Arial"/>
        </w:rPr>
      </w:pPr>
      <w:r>
        <w:rPr>
          <w:rFonts w:ascii="Arial" w:hAnsi="Arial" w:cs="Arial"/>
        </w:rPr>
        <w:t xml:space="preserve">Changes made to the CPR by The </w:t>
      </w:r>
      <w:r w:rsidRPr="00BA3A53">
        <w:rPr>
          <w:rFonts w:ascii="Arial" w:hAnsi="Arial" w:cs="Arial"/>
        </w:rPr>
        <w:t xml:space="preserve">Civil Procedure </w:t>
      </w:r>
      <w:r>
        <w:rPr>
          <w:rFonts w:ascii="Arial" w:hAnsi="Arial" w:cs="Arial"/>
        </w:rPr>
        <w:t xml:space="preserve">(Amendment) </w:t>
      </w:r>
      <w:r w:rsidRPr="00BA3A53">
        <w:rPr>
          <w:rFonts w:ascii="Arial" w:hAnsi="Arial" w:cs="Arial"/>
        </w:rPr>
        <w:t>Rules</w:t>
      </w:r>
      <w:r>
        <w:rPr>
          <w:rFonts w:ascii="Arial" w:hAnsi="Arial" w:cs="Arial"/>
        </w:rPr>
        <w:t xml:space="preserve"> 2013 are </w:t>
      </w:r>
      <w:r w:rsidR="00596415">
        <w:rPr>
          <w:rFonts w:ascii="Arial" w:hAnsi="Arial" w:cs="Arial"/>
        </w:rPr>
        <w:t>likely</w:t>
      </w:r>
      <w:r>
        <w:rPr>
          <w:rFonts w:ascii="Arial" w:hAnsi="Arial" w:cs="Arial"/>
        </w:rPr>
        <w:t xml:space="preserve"> to make it more difficult for a party </w:t>
      </w:r>
      <w:r w:rsidR="00596415">
        <w:rPr>
          <w:rFonts w:ascii="Arial" w:hAnsi="Arial" w:cs="Arial"/>
        </w:rPr>
        <w:t xml:space="preserve">in default </w:t>
      </w:r>
      <w:r>
        <w:rPr>
          <w:rFonts w:ascii="Arial" w:hAnsi="Arial" w:cs="Arial"/>
        </w:rPr>
        <w:t>to obtain relief from sanctions.</w:t>
      </w:r>
    </w:p>
    <w:p w:rsidR="00BA3A53" w:rsidRDefault="00BA3A53">
      <w:pPr>
        <w:tabs>
          <w:tab w:val="right" w:pos="8731"/>
        </w:tabs>
        <w:jc w:val="both"/>
        <w:rPr>
          <w:rFonts w:ascii="Arial" w:hAnsi="Arial" w:cs="Arial"/>
        </w:rPr>
      </w:pPr>
    </w:p>
    <w:p w:rsidR="00BA3A53" w:rsidRPr="00BA3A53" w:rsidRDefault="00BA3A53" w:rsidP="00BA3A53">
      <w:pPr>
        <w:tabs>
          <w:tab w:val="right" w:pos="8731"/>
        </w:tabs>
        <w:jc w:val="both"/>
        <w:rPr>
          <w:rFonts w:ascii="Arial" w:hAnsi="Arial" w:cs="Arial"/>
          <w:i/>
        </w:rPr>
      </w:pPr>
      <w:r>
        <w:rPr>
          <w:rFonts w:ascii="Arial" w:hAnsi="Arial" w:cs="Arial"/>
          <w:i/>
        </w:rPr>
        <w:t>Changes to Part 1</w:t>
      </w:r>
    </w:p>
    <w:p w:rsidR="00BA3A53" w:rsidRDefault="00BA3A53" w:rsidP="00BA3A53">
      <w:pPr>
        <w:tabs>
          <w:tab w:val="right" w:pos="8731"/>
        </w:tabs>
        <w:jc w:val="both"/>
        <w:rPr>
          <w:rFonts w:ascii="Arial" w:hAnsi="Arial" w:cs="Arial"/>
          <w:b/>
        </w:rPr>
      </w:pPr>
    </w:p>
    <w:p w:rsidR="00BA3A53" w:rsidRDefault="00BA3A53" w:rsidP="00BA3A53">
      <w:pPr>
        <w:tabs>
          <w:tab w:val="right" w:pos="8731"/>
        </w:tabs>
        <w:jc w:val="both"/>
        <w:rPr>
          <w:rFonts w:ascii="Arial" w:hAnsi="Arial" w:cs="Arial"/>
          <w:bCs/>
        </w:rPr>
      </w:pPr>
      <w:r>
        <w:rPr>
          <w:rFonts w:ascii="Arial" w:hAnsi="Arial" w:cs="Arial"/>
          <w:bCs/>
        </w:rPr>
        <w:t>The change to Part 1, and the overriding objective emphasises the importance of proportionality in the new regime.</w:t>
      </w:r>
    </w:p>
    <w:p w:rsidR="00596415" w:rsidRDefault="00596415" w:rsidP="00BA3A53">
      <w:pPr>
        <w:tabs>
          <w:tab w:val="right" w:pos="8731"/>
        </w:tabs>
        <w:jc w:val="both"/>
        <w:rPr>
          <w:rFonts w:ascii="Arial" w:hAnsi="Arial" w:cs="Arial"/>
          <w:bCs/>
        </w:rPr>
      </w:pPr>
    </w:p>
    <w:p w:rsidR="00596415" w:rsidRDefault="00596415" w:rsidP="00BA3A53">
      <w:pPr>
        <w:tabs>
          <w:tab w:val="right" w:pos="8731"/>
        </w:tabs>
        <w:jc w:val="both"/>
        <w:rPr>
          <w:rFonts w:ascii="Arial" w:hAnsi="Arial" w:cs="Arial"/>
        </w:rPr>
      </w:pPr>
      <w:r>
        <w:rPr>
          <w:rFonts w:ascii="Arial" w:hAnsi="Arial" w:cs="Arial"/>
        </w:rPr>
        <w:t xml:space="preserve">The </w:t>
      </w:r>
      <w:r w:rsidRPr="00BA3A53">
        <w:rPr>
          <w:rFonts w:ascii="Arial" w:hAnsi="Arial" w:cs="Arial"/>
        </w:rPr>
        <w:t xml:space="preserve">Civil Procedure </w:t>
      </w:r>
      <w:r>
        <w:rPr>
          <w:rFonts w:ascii="Arial" w:hAnsi="Arial" w:cs="Arial"/>
        </w:rPr>
        <w:t xml:space="preserve">(Amendment) </w:t>
      </w:r>
      <w:r w:rsidRPr="00BA3A53">
        <w:rPr>
          <w:rFonts w:ascii="Arial" w:hAnsi="Arial" w:cs="Arial"/>
        </w:rPr>
        <w:t>Rules</w:t>
      </w:r>
      <w:r>
        <w:rPr>
          <w:rFonts w:ascii="Arial" w:hAnsi="Arial" w:cs="Arial"/>
        </w:rPr>
        <w:t xml:space="preserve"> 2013 provide:</w:t>
      </w:r>
    </w:p>
    <w:p w:rsidR="00596415" w:rsidRDefault="00596415" w:rsidP="00BA3A53">
      <w:pPr>
        <w:tabs>
          <w:tab w:val="right" w:pos="8731"/>
        </w:tabs>
        <w:jc w:val="both"/>
        <w:rPr>
          <w:rFonts w:ascii="Arial" w:hAnsi="Arial" w:cs="Arial"/>
          <w:bCs/>
        </w:rPr>
      </w:pPr>
    </w:p>
    <w:p w:rsidR="00596415" w:rsidRPr="00534EB7" w:rsidRDefault="00596415" w:rsidP="00596415">
      <w:pPr>
        <w:pStyle w:val="legp1paratext1"/>
        <w:ind w:left="709" w:hanging="44"/>
        <w:rPr>
          <w:rFonts w:ascii="Arial" w:hAnsi="Arial" w:cs="Arial"/>
          <w:sz w:val="24"/>
          <w:szCs w:val="24"/>
          <w:lang w:val="en"/>
        </w:rPr>
      </w:pPr>
      <w:r w:rsidRPr="00534EB7">
        <w:rPr>
          <w:rStyle w:val="legp1no3"/>
          <w:rFonts w:ascii="Arial" w:hAnsi="Arial" w:cs="Arial"/>
          <w:sz w:val="24"/>
          <w:szCs w:val="24"/>
          <w:lang w:val="en"/>
        </w:rPr>
        <w:t>4.</w:t>
      </w:r>
      <w:r w:rsidRPr="00534EB7">
        <w:rPr>
          <w:rFonts w:ascii="Arial" w:hAnsi="Arial" w:cs="Arial"/>
          <w:sz w:val="24"/>
          <w:szCs w:val="24"/>
          <w:lang w:val="en"/>
        </w:rPr>
        <w:t xml:space="preserve"> In rule 1.1—</w:t>
      </w:r>
    </w:p>
    <w:p w:rsidR="00596415" w:rsidRPr="00534EB7" w:rsidRDefault="00596415" w:rsidP="00596415">
      <w:pPr>
        <w:pStyle w:val="legclearfix2"/>
        <w:ind w:left="709" w:hanging="44"/>
        <w:rPr>
          <w:rFonts w:ascii="Arial" w:hAnsi="Arial" w:cs="Arial"/>
          <w:sz w:val="24"/>
          <w:szCs w:val="24"/>
          <w:lang w:val="en"/>
        </w:rPr>
      </w:pPr>
      <w:r w:rsidRPr="00534EB7">
        <w:rPr>
          <w:rStyle w:val="legds2"/>
          <w:rFonts w:ascii="Arial" w:hAnsi="Arial" w:cs="Arial"/>
          <w:sz w:val="24"/>
          <w:szCs w:val="24"/>
          <w:lang w:val="en"/>
          <w:specVanish w:val="0"/>
        </w:rPr>
        <w:t>(a)</w:t>
      </w:r>
      <w:r>
        <w:rPr>
          <w:rStyle w:val="legds2"/>
          <w:rFonts w:ascii="Arial" w:hAnsi="Arial" w:cs="Arial"/>
          <w:sz w:val="24"/>
          <w:szCs w:val="24"/>
          <w:lang w:val="en"/>
          <w:specVanish w:val="0"/>
        </w:rPr>
        <w:t xml:space="preserve">   </w:t>
      </w:r>
      <w:r w:rsidRPr="00534EB7">
        <w:rPr>
          <w:rStyle w:val="legds2"/>
          <w:rFonts w:ascii="Arial" w:hAnsi="Arial" w:cs="Arial"/>
          <w:sz w:val="24"/>
          <w:szCs w:val="24"/>
          <w:lang w:val="en"/>
          <w:specVanish w:val="0"/>
        </w:rPr>
        <w:t>In paragraph (1), after “justly” insert “and at proportionate cost”; and</w:t>
      </w:r>
    </w:p>
    <w:p w:rsidR="00596415" w:rsidRPr="00534EB7" w:rsidRDefault="00596415" w:rsidP="00596415">
      <w:pPr>
        <w:pStyle w:val="legclearfix2"/>
        <w:ind w:left="709" w:hanging="44"/>
        <w:rPr>
          <w:rFonts w:ascii="Arial" w:hAnsi="Arial" w:cs="Arial"/>
          <w:sz w:val="24"/>
          <w:szCs w:val="24"/>
          <w:lang w:val="en"/>
        </w:rPr>
      </w:pPr>
      <w:r w:rsidRPr="00534EB7">
        <w:rPr>
          <w:rStyle w:val="legds2"/>
          <w:rFonts w:ascii="Arial" w:hAnsi="Arial" w:cs="Arial"/>
          <w:sz w:val="24"/>
          <w:szCs w:val="24"/>
          <w:lang w:val="en"/>
          <w:specVanish w:val="0"/>
        </w:rPr>
        <w:t>(b)</w:t>
      </w:r>
      <w:r>
        <w:rPr>
          <w:rStyle w:val="legds2"/>
          <w:rFonts w:ascii="Arial" w:hAnsi="Arial" w:cs="Arial"/>
          <w:sz w:val="24"/>
          <w:szCs w:val="24"/>
          <w:lang w:val="en"/>
          <w:specVanish w:val="0"/>
        </w:rPr>
        <w:t xml:space="preserve">   </w:t>
      </w:r>
      <w:r w:rsidRPr="00534EB7">
        <w:rPr>
          <w:rStyle w:val="legds2"/>
          <w:rFonts w:ascii="Arial" w:hAnsi="Arial" w:cs="Arial"/>
          <w:sz w:val="24"/>
          <w:szCs w:val="24"/>
          <w:lang w:val="en"/>
          <w:specVanish w:val="0"/>
        </w:rPr>
        <w:t>In paragraph (2)—</w:t>
      </w:r>
    </w:p>
    <w:p w:rsidR="00596415" w:rsidRPr="00534EB7" w:rsidRDefault="00596415" w:rsidP="00596415">
      <w:pPr>
        <w:pStyle w:val="legclearfix2"/>
        <w:ind w:left="1134" w:hanging="44"/>
        <w:rPr>
          <w:rFonts w:ascii="Arial" w:hAnsi="Arial" w:cs="Arial"/>
          <w:sz w:val="24"/>
          <w:szCs w:val="24"/>
          <w:lang w:val="en"/>
        </w:rPr>
      </w:pPr>
      <w:r w:rsidRPr="00534EB7">
        <w:rPr>
          <w:rStyle w:val="legds2"/>
          <w:rFonts w:ascii="Arial" w:hAnsi="Arial" w:cs="Arial"/>
          <w:sz w:val="24"/>
          <w:szCs w:val="24"/>
          <w:lang w:val="en"/>
          <w:specVanish w:val="0"/>
        </w:rPr>
        <w:t>(i)</w:t>
      </w:r>
      <w:r>
        <w:rPr>
          <w:rStyle w:val="legds2"/>
          <w:rFonts w:ascii="Arial" w:hAnsi="Arial" w:cs="Arial"/>
          <w:sz w:val="24"/>
          <w:szCs w:val="24"/>
          <w:lang w:val="en"/>
          <w:specVanish w:val="0"/>
        </w:rPr>
        <w:t xml:space="preserve">   </w:t>
      </w:r>
      <w:r w:rsidRPr="00534EB7">
        <w:rPr>
          <w:rFonts w:ascii="Arial" w:hAnsi="Arial" w:cs="Arial"/>
          <w:sz w:val="24"/>
          <w:szCs w:val="24"/>
          <w:lang w:val="en"/>
        </w:rPr>
        <w:t>after “justly” insert “and at proportionate cost”;</w:t>
      </w:r>
    </w:p>
    <w:p w:rsidR="00596415" w:rsidRPr="00534EB7" w:rsidRDefault="00596415" w:rsidP="00596415">
      <w:pPr>
        <w:pStyle w:val="legclearfix2"/>
        <w:ind w:left="1134" w:hanging="44"/>
        <w:rPr>
          <w:rFonts w:ascii="Arial" w:hAnsi="Arial" w:cs="Arial"/>
          <w:sz w:val="24"/>
          <w:szCs w:val="24"/>
          <w:lang w:val="en"/>
        </w:rPr>
      </w:pPr>
      <w:r w:rsidRPr="00534EB7">
        <w:rPr>
          <w:rFonts w:ascii="Arial" w:hAnsi="Arial" w:cs="Arial"/>
          <w:sz w:val="24"/>
          <w:szCs w:val="24"/>
          <w:lang w:val="en"/>
        </w:rPr>
        <w:t>(ii)</w:t>
      </w:r>
      <w:r>
        <w:rPr>
          <w:rFonts w:ascii="Arial" w:hAnsi="Arial" w:cs="Arial"/>
          <w:sz w:val="24"/>
          <w:szCs w:val="24"/>
          <w:lang w:val="en"/>
        </w:rPr>
        <w:t xml:space="preserve">   </w:t>
      </w:r>
      <w:r w:rsidRPr="00534EB7">
        <w:rPr>
          <w:rFonts w:ascii="Arial" w:hAnsi="Arial" w:cs="Arial"/>
          <w:sz w:val="24"/>
          <w:szCs w:val="24"/>
          <w:lang w:val="en"/>
        </w:rPr>
        <w:t>at the end of sub-paragraph (d), omit “and”;</w:t>
      </w:r>
    </w:p>
    <w:p w:rsidR="00596415" w:rsidRPr="00534EB7" w:rsidRDefault="00596415" w:rsidP="00596415">
      <w:pPr>
        <w:pStyle w:val="legclearfix2"/>
        <w:ind w:left="1134" w:hanging="44"/>
        <w:rPr>
          <w:rFonts w:ascii="Arial" w:hAnsi="Arial" w:cs="Arial"/>
          <w:sz w:val="24"/>
          <w:szCs w:val="24"/>
          <w:lang w:val="en"/>
        </w:rPr>
      </w:pPr>
      <w:r w:rsidRPr="00534EB7">
        <w:rPr>
          <w:rFonts w:ascii="Arial" w:hAnsi="Arial" w:cs="Arial"/>
          <w:sz w:val="24"/>
          <w:szCs w:val="24"/>
          <w:lang w:val="en"/>
        </w:rPr>
        <w:t>(iii)</w:t>
      </w:r>
      <w:r>
        <w:rPr>
          <w:rFonts w:ascii="Arial" w:hAnsi="Arial" w:cs="Arial"/>
          <w:sz w:val="24"/>
          <w:szCs w:val="24"/>
          <w:lang w:val="en"/>
        </w:rPr>
        <w:t xml:space="preserve">   </w:t>
      </w:r>
      <w:r w:rsidRPr="00534EB7">
        <w:rPr>
          <w:rFonts w:ascii="Arial" w:hAnsi="Arial" w:cs="Arial"/>
          <w:sz w:val="24"/>
          <w:szCs w:val="24"/>
          <w:lang w:val="en"/>
        </w:rPr>
        <w:t>at the end of sub-paragraph (e), for “.” substitute “; and”; and</w:t>
      </w:r>
    </w:p>
    <w:p w:rsidR="00596415" w:rsidRPr="00534EB7" w:rsidRDefault="00596415" w:rsidP="00596415">
      <w:pPr>
        <w:pStyle w:val="legclearfix2"/>
        <w:ind w:left="1134" w:hanging="44"/>
        <w:rPr>
          <w:rFonts w:ascii="Arial" w:hAnsi="Arial" w:cs="Arial"/>
          <w:sz w:val="24"/>
          <w:szCs w:val="24"/>
          <w:lang w:val="en"/>
        </w:rPr>
      </w:pPr>
      <w:r w:rsidRPr="00534EB7">
        <w:rPr>
          <w:rFonts w:ascii="Arial" w:hAnsi="Arial" w:cs="Arial"/>
          <w:sz w:val="24"/>
          <w:szCs w:val="24"/>
          <w:lang w:val="en"/>
        </w:rPr>
        <w:t>(iv)</w:t>
      </w:r>
      <w:r>
        <w:rPr>
          <w:rFonts w:ascii="Arial" w:hAnsi="Arial" w:cs="Arial"/>
          <w:sz w:val="24"/>
          <w:szCs w:val="24"/>
          <w:lang w:val="en"/>
        </w:rPr>
        <w:t xml:space="preserve">   </w:t>
      </w:r>
      <w:r w:rsidRPr="00534EB7">
        <w:rPr>
          <w:rFonts w:ascii="Arial" w:hAnsi="Arial" w:cs="Arial"/>
          <w:sz w:val="24"/>
          <w:szCs w:val="24"/>
          <w:lang w:val="en"/>
        </w:rPr>
        <w:t>after sub-paragraph (e) insert the following sub-paragraph—</w:t>
      </w:r>
    </w:p>
    <w:p w:rsidR="00596415" w:rsidRPr="00534EB7" w:rsidRDefault="00596415" w:rsidP="00596415">
      <w:pPr>
        <w:pStyle w:val="legclearfix2"/>
        <w:ind w:left="1701" w:hanging="44"/>
        <w:rPr>
          <w:rFonts w:ascii="Arial" w:hAnsi="Arial" w:cs="Arial"/>
          <w:sz w:val="24"/>
          <w:szCs w:val="24"/>
          <w:lang w:val="en"/>
        </w:rPr>
      </w:pPr>
      <w:r w:rsidRPr="00534EB7">
        <w:rPr>
          <w:rStyle w:val="legamendquote1"/>
          <w:rFonts w:ascii="Arial" w:hAnsi="Arial" w:cs="Arial"/>
          <w:sz w:val="24"/>
          <w:szCs w:val="24"/>
          <w:lang w:val="en"/>
        </w:rPr>
        <w:t>“</w:t>
      </w:r>
      <w:r w:rsidRPr="00534EB7">
        <w:rPr>
          <w:rStyle w:val="legamendingtext"/>
          <w:rFonts w:ascii="Arial" w:hAnsi="Arial" w:cs="Arial"/>
          <w:sz w:val="24"/>
          <w:szCs w:val="24"/>
          <w:lang w:val="en"/>
        </w:rPr>
        <w:t>(f)</w:t>
      </w:r>
      <w:r>
        <w:rPr>
          <w:rStyle w:val="legamendingtext"/>
          <w:rFonts w:ascii="Arial" w:hAnsi="Arial" w:cs="Arial"/>
          <w:sz w:val="24"/>
          <w:szCs w:val="24"/>
          <w:lang w:val="en"/>
        </w:rPr>
        <w:t xml:space="preserve">  </w:t>
      </w:r>
      <w:r w:rsidRPr="00534EB7">
        <w:rPr>
          <w:rStyle w:val="legamendingtext"/>
          <w:rFonts w:ascii="Arial" w:hAnsi="Arial" w:cs="Arial"/>
          <w:sz w:val="24"/>
          <w:szCs w:val="24"/>
          <w:lang w:val="en"/>
        </w:rPr>
        <w:t>enforcing compliance with rules, practice directions and orders.</w:t>
      </w:r>
      <w:r w:rsidRPr="00534EB7">
        <w:rPr>
          <w:rStyle w:val="legamendquote1"/>
          <w:rFonts w:ascii="Arial" w:hAnsi="Arial" w:cs="Arial"/>
          <w:sz w:val="24"/>
          <w:szCs w:val="24"/>
          <w:lang w:val="en"/>
        </w:rPr>
        <w:t>”</w:t>
      </w:r>
      <w:r w:rsidRPr="00534EB7">
        <w:rPr>
          <w:rStyle w:val="legamendingtext"/>
          <w:rFonts w:ascii="Arial" w:hAnsi="Arial" w:cs="Arial"/>
          <w:sz w:val="24"/>
          <w:szCs w:val="24"/>
          <w:lang w:val="en"/>
        </w:rPr>
        <w:t>.</w:t>
      </w:r>
    </w:p>
    <w:p w:rsidR="00596415" w:rsidRDefault="00596415" w:rsidP="00BA3A53">
      <w:pPr>
        <w:tabs>
          <w:tab w:val="right" w:pos="8731"/>
        </w:tabs>
        <w:jc w:val="both"/>
        <w:rPr>
          <w:rFonts w:ascii="Arial" w:hAnsi="Arial" w:cs="Arial"/>
          <w:bCs/>
        </w:rPr>
      </w:pPr>
    </w:p>
    <w:p w:rsidR="00596415" w:rsidRDefault="00596415" w:rsidP="00BA3A53">
      <w:pPr>
        <w:tabs>
          <w:tab w:val="right" w:pos="8731"/>
        </w:tabs>
        <w:jc w:val="both"/>
        <w:rPr>
          <w:rFonts w:ascii="Arial" w:hAnsi="Arial" w:cs="Arial"/>
          <w:bCs/>
        </w:rPr>
      </w:pPr>
    </w:p>
    <w:p w:rsidR="00A952FE" w:rsidRPr="00A952FE" w:rsidRDefault="00A952FE">
      <w:pPr>
        <w:tabs>
          <w:tab w:val="right" w:pos="8731"/>
        </w:tabs>
        <w:jc w:val="both"/>
        <w:rPr>
          <w:rFonts w:ascii="Arial" w:hAnsi="Arial" w:cs="Arial"/>
          <w:i/>
        </w:rPr>
      </w:pPr>
      <w:r>
        <w:rPr>
          <w:rFonts w:ascii="Arial" w:hAnsi="Arial" w:cs="Arial"/>
          <w:i/>
        </w:rPr>
        <w:t>Changes to Part 3</w:t>
      </w:r>
    </w:p>
    <w:p w:rsidR="00A952FE" w:rsidRDefault="00A952FE">
      <w:pPr>
        <w:tabs>
          <w:tab w:val="right" w:pos="8731"/>
        </w:tabs>
        <w:jc w:val="both"/>
        <w:rPr>
          <w:rFonts w:ascii="Arial" w:hAnsi="Arial" w:cs="Arial"/>
        </w:rPr>
      </w:pPr>
    </w:p>
    <w:p w:rsidR="00596415" w:rsidRDefault="00596415" w:rsidP="00A952FE">
      <w:pPr>
        <w:tabs>
          <w:tab w:val="right" w:pos="8731"/>
        </w:tabs>
        <w:jc w:val="both"/>
        <w:rPr>
          <w:rFonts w:ascii="Arial" w:hAnsi="Arial" w:cs="Arial"/>
        </w:rPr>
      </w:pPr>
      <w:r>
        <w:rPr>
          <w:rFonts w:ascii="Arial" w:hAnsi="Arial" w:cs="Arial"/>
        </w:rPr>
        <w:t xml:space="preserve">The 2013 Rules also provide that: </w:t>
      </w:r>
    </w:p>
    <w:p w:rsidR="00596415" w:rsidRDefault="00596415" w:rsidP="00A952FE">
      <w:pPr>
        <w:tabs>
          <w:tab w:val="right" w:pos="8731"/>
        </w:tabs>
        <w:jc w:val="both"/>
        <w:rPr>
          <w:rFonts w:ascii="Arial" w:hAnsi="Arial" w:cs="Arial"/>
        </w:rPr>
      </w:pPr>
    </w:p>
    <w:p w:rsidR="00A952FE" w:rsidRDefault="00A952FE" w:rsidP="00A952FE">
      <w:pPr>
        <w:tabs>
          <w:tab w:val="right" w:pos="8731"/>
        </w:tabs>
        <w:jc w:val="both"/>
        <w:rPr>
          <w:rFonts w:ascii="Arial" w:hAnsi="Arial" w:cs="Arial"/>
        </w:rPr>
      </w:pPr>
      <w:r>
        <w:rPr>
          <w:rFonts w:ascii="Arial" w:hAnsi="Arial" w:cs="Arial"/>
        </w:rPr>
        <w:t xml:space="preserve">For rule 3.9(1), substitute— </w:t>
      </w:r>
    </w:p>
    <w:p w:rsidR="00A952FE" w:rsidRPr="00534EB7" w:rsidRDefault="00A952FE" w:rsidP="00A952FE">
      <w:pPr>
        <w:tabs>
          <w:tab w:val="right" w:pos="8731"/>
        </w:tabs>
        <w:ind w:left="851"/>
        <w:jc w:val="both"/>
        <w:rPr>
          <w:rFonts w:ascii="Arial" w:hAnsi="Arial" w:cs="Arial"/>
        </w:rPr>
      </w:pPr>
    </w:p>
    <w:p w:rsidR="00A952FE" w:rsidRDefault="00A952FE" w:rsidP="00A952FE">
      <w:pPr>
        <w:tabs>
          <w:tab w:val="right" w:pos="8731"/>
        </w:tabs>
        <w:ind w:left="709"/>
        <w:jc w:val="both"/>
        <w:rPr>
          <w:rFonts w:ascii="Arial" w:hAnsi="Arial" w:cs="Arial"/>
        </w:rPr>
      </w:pPr>
      <w:r w:rsidRPr="00534EB7">
        <w:rPr>
          <w:rFonts w:ascii="Arial" w:hAnsi="Arial" w:cs="Arial"/>
        </w:rPr>
        <w:t>“(1) On an application for relief from any sanction imposed for a failure to comply with any rule, practice direction or court order, the court will consider all the circumstances of the case, so as to enable it to deal justly with the application, including the need—</w:t>
      </w:r>
    </w:p>
    <w:p w:rsidR="00A952FE" w:rsidRPr="00534EB7" w:rsidRDefault="00A952FE" w:rsidP="00A952FE">
      <w:pPr>
        <w:tabs>
          <w:tab w:val="right" w:pos="8731"/>
        </w:tabs>
        <w:ind w:left="1276"/>
        <w:jc w:val="both"/>
        <w:rPr>
          <w:rFonts w:ascii="Arial" w:hAnsi="Arial" w:cs="Arial"/>
        </w:rPr>
      </w:pPr>
    </w:p>
    <w:p w:rsidR="00A952FE" w:rsidRPr="003B2C88" w:rsidRDefault="00A952FE" w:rsidP="00A952FE">
      <w:pPr>
        <w:pStyle w:val="ListParagraph"/>
        <w:numPr>
          <w:ilvl w:val="0"/>
          <w:numId w:val="12"/>
        </w:numPr>
        <w:tabs>
          <w:tab w:val="right" w:pos="8731"/>
        </w:tabs>
        <w:ind w:left="1560"/>
        <w:jc w:val="both"/>
        <w:rPr>
          <w:rFonts w:ascii="Arial" w:hAnsi="Arial" w:cs="Arial"/>
        </w:rPr>
      </w:pPr>
      <w:r w:rsidRPr="003B2C88">
        <w:rPr>
          <w:rFonts w:ascii="Arial" w:hAnsi="Arial" w:cs="Arial"/>
        </w:rPr>
        <w:t xml:space="preserve">for litigation to be conducted efficiently and at proportionate cost; and </w:t>
      </w:r>
    </w:p>
    <w:p w:rsidR="00A952FE" w:rsidRPr="00203A49" w:rsidRDefault="00A952FE" w:rsidP="00A952FE">
      <w:pPr>
        <w:pStyle w:val="ListParagraph"/>
        <w:tabs>
          <w:tab w:val="right" w:pos="8731"/>
        </w:tabs>
        <w:ind w:left="1560"/>
        <w:jc w:val="both"/>
        <w:rPr>
          <w:rFonts w:ascii="Arial" w:hAnsi="Arial" w:cs="Arial"/>
        </w:rPr>
      </w:pPr>
    </w:p>
    <w:p w:rsidR="00A952FE" w:rsidRPr="00203A49" w:rsidRDefault="00A952FE" w:rsidP="00A952FE">
      <w:pPr>
        <w:pStyle w:val="ListParagraph"/>
        <w:numPr>
          <w:ilvl w:val="0"/>
          <w:numId w:val="12"/>
        </w:numPr>
        <w:tabs>
          <w:tab w:val="right" w:pos="8731"/>
        </w:tabs>
        <w:ind w:left="1560"/>
        <w:jc w:val="both"/>
        <w:rPr>
          <w:rFonts w:ascii="Arial" w:hAnsi="Arial" w:cs="Arial"/>
          <w:bCs/>
        </w:rPr>
      </w:pPr>
      <w:r w:rsidRPr="00203A49">
        <w:rPr>
          <w:rFonts w:ascii="Arial" w:hAnsi="Arial" w:cs="Arial"/>
        </w:rPr>
        <w:t>to enforce compliance with rules, p</w:t>
      </w:r>
      <w:r>
        <w:rPr>
          <w:rFonts w:ascii="Arial" w:hAnsi="Arial" w:cs="Arial"/>
        </w:rPr>
        <w:t>ractice directions and orders.”</w:t>
      </w:r>
    </w:p>
    <w:p w:rsidR="00A952FE" w:rsidRDefault="00A952FE">
      <w:pPr>
        <w:tabs>
          <w:tab w:val="right" w:pos="8731"/>
        </w:tabs>
        <w:jc w:val="both"/>
        <w:rPr>
          <w:rFonts w:ascii="Arial" w:hAnsi="Arial" w:cs="Arial"/>
        </w:rPr>
      </w:pPr>
    </w:p>
    <w:p w:rsidR="00AB55A4" w:rsidRDefault="00AB55A4" w:rsidP="00AB55A4">
      <w:pPr>
        <w:tabs>
          <w:tab w:val="right" w:pos="8731"/>
        </w:tabs>
        <w:jc w:val="both"/>
        <w:rPr>
          <w:rFonts w:ascii="Arial" w:hAnsi="Arial" w:cs="Arial"/>
          <w:color w:val="222222"/>
          <w:szCs w:val="24"/>
        </w:rPr>
      </w:pPr>
      <w:r>
        <w:rPr>
          <w:rFonts w:ascii="Arial" w:hAnsi="Arial" w:cs="Arial"/>
          <w:bCs/>
        </w:rPr>
        <w:t xml:space="preserve">If “robust” case management orders are made the indications, from the </w:t>
      </w:r>
      <w:r w:rsidRPr="004B0F91">
        <w:rPr>
          <w:rFonts w:ascii="Arial" w:hAnsi="Arial" w:cs="Arial"/>
          <w:bCs/>
        </w:rPr>
        <w:t>Court of Appeal</w:t>
      </w:r>
      <w:r>
        <w:rPr>
          <w:rFonts w:ascii="Arial" w:hAnsi="Arial" w:cs="Arial"/>
          <w:bCs/>
        </w:rPr>
        <w:t xml:space="preserve">, are that such decision should be upheld:  </w:t>
      </w:r>
      <w:r w:rsidRPr="004B0F91">
        <w:rPr>
          <w:rFonts w:ascii="Arial" w:hAnsi="Arial" w:cs="Arial"/>
          <w:bCs/>
          <w:u w:val="single"/>
        </w:rPr>
        <w:t>Fred Perry (Holdings) Ltd</w:t>
      </w:r>
      <w:r>
        <w:rPr>
          <w:rFonts w:ascii="Arial" w:hAnsi="Arial" w:cs="Arial"/>
          <w:bCs/>
        </w:rPr>
        <w:t xml:space="preserve"> </w:t>
      </w:r>
      <w:r w:rsidRPr="004B0F91">
        <w:rPr>
          <w:rFonts w:ascii="Arial" w:hAnsi="Arial" w:cs="Arial"/>
          <w:bCs/>
          <w:iCs/>
        </w:rPr>
        <w:t xml:space="preserve">-v- </w:t>
      </w:r>
      <w:r>
        <w:rPr>
          <w:rFonts w:ascii="Arial" w:hAnsi="Arial" w:cs="Arial"/>
          <w:bCs/>
          <w:u w:val="single"/>
        </w:rPr>
        <w:t>Brands Plaza</w:t>
      </w:r>
      <w:r>
        <w:rPr>
          <w:rFonts w:ascii="Arial" w:hAnsi="Arial" w:cs="Arial"/>
          <w:bCs/>
        </w:rPr>
        <w:t xml:space="preserve"> </w:t>
      </w:r>
      <w:r w:rsidRPr="00AB55A4">
        <w:rPr>
          <w:rFonts w:ascii="Arial" w:hAnsi="Arial" w:cs="Arial"/>
          <w:color w:val="222222"/>
          <w:szCs w:val="24"/>
        </w:rPr>
        <w:t>[2012] EWCA Civ 224.</w:t>
      </w:r>
    </w:p>
    <w:p w:rsidR="00AB55A4" w:rsidRDefault="00AB55A4" w:rsidP="00AB55A4">
      <w:pPr>
        <w:tabs>
          <w:tab w:val="right" w:pos="8731"/>
        </w:tabs>
        <w:jc w:val="both"/>
        <w:rPr>
          <w:rFonts w:ascii="Arial" w:hAnsi="Arial" w:cs="Arial"/>
          <w:color w:val="222222"/>
          <w:szCs w:val="24"/>
        </w:rPr>
      </w:pPr>
    </w:p>
    <w:p w:rsidR="00AB55A4" w:rsidRDefault="00AB55A4" w:rsidP="004B0F91">
      <w:pPr>
        <w:tabs>
          <w:tab w:val="right" w:pos="8731"/>
        </w:tabs>
        <w:jc w:val="both"/>
        <w:rPr>
          <w:rFonts w:ascii="Arial" w:hAnsi="Arial" w:cs="Arial"/>
          <w:color w:val="222222"/>
          <w:szCs w:val="24"/>
        </w:rPr>
      </w:pPr>
      <w:r>
        <w:rPr>
          <w:rFonts w:ascii="Arial" w:hAnsi="Arial" w:cs="Arial"/>
          <w:color w:val="222222"/>
          <w:szCs w:val="24"/>
        </w:rPr>
        <w:t>However, t</w:t>
      </w:r>
      <w:r w:rsidR="004B0F91">
        <w:rPr>
          <w:rFonts w:ascii="Arial" w:hAnsi="Arial" w:cs="Arial"/>
          <w:bCs/>
        </w:rPr>
        <w:t>here remains a need to deal with cases justly</w:t>
      </w:r>
      <w:r>
        <w:rPr>
          <w:rFonts w:ascii="Arial" w:hAnsi="Arial" w:cs="Arial"/>
          <w:bCs/>
        </w:rPr>
        <w:t xml:space="preserve"> and judges may be robust but not unjust:</w:t>
      </w:r>
      <w:r w:rsidR="004B0F91">
        <w:rPr>
          <w:rFonts w:ascii="Arial" w:hAnsi="Arial" w:cs="Arial"/>
          <w:bCs/>
        </w:rPr>
        <w:t xml:space="preserve"> </w:t>
      </w:r>
      <w:r w:rsidR="004B0F91">
        <w:rPr>
          <w:rFonts w:ascii="Arial" w:hAnsi="Arial" w:cs="Arial"/>
          <w:bCs/>
          <w:u w:val="single"/>
        </w:rPr>
        <w:t>Ryder plc</w:t>
      </w:r>
      <w:r w:rsidR="004B0F91">
        <w:rPr>
          <w:rFonts w:ascii="Arial" w:hAnsi="Arial" w:cs="Arial"/>
          <w:bCs/>
        </w:rPr>
        <w:t xml:space="preserve"> -v- </w:t>
      </w:r>
      <w:r w:rsidR="004B0F91">
        <w:rPr>
          <w:rFonts w:ascii="Arial" w:hAnsi="Arial" w:cs="Arial"/>
          <w:bCs/>
          <w:u w:val="single"/>
        </w:rPr>
        <w:t>Beever</w:t>
      </w:r>
      <w:r w:rsidR="004B0F91">
        <w:rPr>
          <w:rFonts w:ascii="Arial" w:hAnsi="Arial" w:cs="Arial"/>
          <w:bCs/>
        </w:rPr>
        <w:t xml:space="preserve"> </w:t>
      </w:r>
      <w:r w:rsidR="004B0F91" w:rsidRPr="009C2222">
        <w:rPr>
          <w:rFonts w:ascii="Arial" w:hAnsi="Arial" w:cs="Arial"/>
          <w:color w:val="222222"/>
          <w:szCs w:val="24"/>
        </w:rPr>
        <w:t>[2012] EWCA Civ 1737</w:t>
      </w:r>
      <w:r>
        <w:rPr>
          <w:rFonts w:ascii="Arial" w:hAnsi="Arial" w:cs="Arial"/>
          <w:color w:val="222222"/>
          <w:szCs w:val="24"/>
        </w:rPr>
        <w:t>.  Although that case concerned the old Part 3.9 it seem likely the could would have reached the same conclusion under the new Part 3.9 that relief from sanctions was appropriate.</w:t>
      </w:r>
    </w:p>
    <w:p w:rsidR="00AB55A4" w:rsidRDefault="00AB55A4" w:rsidP="004B0F91">
      <w:pPr>
        <w:tabs>
          <w:tab w:val="right" w:pos="8731"/>
        </w:tabs>
        <w:jc w:val="both"/>
        <w:rPr>
          <w:rFonts w:ascii="Arial" w:hAnsi="Arial" w:cs="Arial"/>
          <w:color w:val="222222"/>
          <w:szCs w:val="24"/>
        </w:rPr>
      </w:pPr>
    </w:p>
    <w:p w:rsidR="004B0F91" w:rsidRPr="00AB55A4" w:rsidRDefault="00AB55A4" w:rsidP="004B0F91">
      <w:pPr>
        <w:tabs>
          <w:tab w:val="right" w:pos="8731"/>
        </w:tabs>
        <w:jc w:val="both"/>
        <w:rPr>
          <w:rFonts w:ascii="Arial" w:hAnsi="Arial" w:cs="Arial"/>
          <w:bCs/>
          <w:i/>
        </w:rPr>
      </w:pPr>
      <w:r>
        <w:rPr>
          <w:rFonts w:ascii="Arial" w:hAnsi="Arial" w:cs="Arial"/>
          <w:bCs/>
          <w:i/>
        </w:rPr>
        <w:t>Tactics</w:t>
      </w:r>
    </w:p>
    <w:p w:rsidR="00065F79" w:rsidRDefault="00065F79" w:rsidP="004B0F91">
      <w:pPr>
        <w:tabs>
          <w:tab w:val="right" w:pos="8731"/>
        </w:tabs>
        <w:jc w:val="both"/>
        <w:rPr>
          <w:rFonts w:ascii="Arial" w:hAnsi="Arial" w:cs="Arial"/>
          <w:color w:val="222222"/>
          <w:szCs w:val="24"/>
        </w:rPr>
      </w:pPr>
    </w:p>
    <w:p w:rsidR="00065F79" w:rsidRDefault="00065F79" w:rsidP="00065F79">
      <w:pPr>
        <w:pStyle w:val="ListParagraph"/>
        <w:numPr>
          <w:ilvl w:val="0"/>
          <w:numId w:val="3"/>
        </w:numPr>
        <w:tabs>
          <w:tab w:val="right" w:pos="8731"/>
        </w:tabs>
        <w:ind w:hanging="720"/>
        <w:jc w:val="both"/>
        <w:rPr>
          <w:rFonts w:ascii="Arial" w:hAnsi="Arial" w:cs="Arial"/>
          <w:color w:val="222222"/>
          <w:szCs w:val="24"/>
        </w:rPr>
      </w:pPr>
      <w:r>
        <w:rPr>
          <w:rFonts w:ascii="Arial" w:hAnsi="Arial" w:cs="Arial"/>
          <w:color w:val="222222"/>
          <w:szCs w:val="24"/>
        </w:rPr>
        <w:t>Being aware of those parts of the CPR which provide for automatic sanctions for example:</w:t>
      </w:r>
    </w:p>
    <w:p w:rsidR="00065F79" w:rsidRDefault="00065F79" w:rsidP="00065F79">
      <w:pPr>
        <w:pStyle w:val="ListParagraph"/>
        <w:tabs>
          <w:tab w:val="right" w:pos="8731"/>
        </w:tabs>
        <w:jc w:val="both"/>
        <w:rPr>
          <w:rFonts w:ascii="Arial" w:hAnsi="Arial" w:cs="Arial"/>
          <w:color w:val="222222"/>
          <w:szCs w:val="24"/>
        </w:rPr>
      </w:pPr>
    </w:p>
    <w:p w:rsidR="00065F79" w:rsidRDefault="00065F79" w:rsidP="00065F79">
      <w:pPr>
        <w:pStyle w:val="ListParagraph"/>
        <w:numPr>
          <w:ilvl w:val="0"/>
          <w:numId w:val="3"/>
        </w:numPr>
        <w:tabs>
          <w:tab w:val="right" w:pos="8731"/>
        </w:tabs>
        <w:ind w:left="1418" w:hanging="720"/>
        <w:jc w:val="both"/>
        <w:rPr>
          <w:rFonts w:ascii="Arial" w:hAnsi="Arial" w:cs="Arial"/>
          <w:color w:val="222222"/>
          <w:szCs w:val="24"/>
        </w:rPr>
      </w:pPr>
      <w:r>
        <w:rPr>
          <w:rFonts w:ascii="Arial" w:hAnsi="Arial" w:cs="Arial"/>
          <w:color w:val="222222"/>
          <w:szCs w:val="24"/>
        </w:rPr>
        <w:t xml:space="preserve">Part 31 (disclosure); </w:t>
      </w:r>
    </w:p>
    <w:p w:rsidR="00065F79" w:rsidRPr="00065F79" w:rsidRDefault="00065F79" w:rsidP="00065F79">
      <w:pPr>
        <w:pStyle w:val="ListParagraph"/>
        <w:rPr>
          <w:rFonts w:ascii="Arial" w:hAnsi="Arial" w:cs="Arial"/>
          <w:color w:val="222222"/>
          <w:szCs w:val="24"/>
        </w:rPr>
      </w:pPr>
    </w:p>
    <w:p w:rsidR="00065F79" w:rsidRDefault="00065F79" w:rsidP="00065F79">
      <w:pPr>
        <w:pStyle w:val="ListParagraph"/>
        <w:numPr>
          <w:ilvl w:val="0"/>
          <w:numId w:val="3"/>
        </w:numPr>
        <w:tabs>
          <w:tab w:val="right" w:pos="8731"/>
        </w:tabs>
        <w:ind w:left="1418" w:hanging="720"/>
        <w:jc w:val="both"/>
        <w:rPr>
          <w:rFonts w:ascii="Arial" w:hAnsi="Arial" w:cs="Arial"/>
          <w:color w:val="222222"/>
          <w:szCs w:val="24"/>
        </w:rPr>
      </w:pPr>
      <w:r>
        <w:rPr>
          <w:rFonts w:ascii="Arial" w:hAnsi="Arial" w:cs="Arial"/>
          <w:color w:val="222222"/>
          <w:szCs w:val="24"/>
        </w:rPr>
        <w:t>Part 32 (witness statements); and</w:t>
      </w:r>
    </w:p>
    <w:p w:rsidR="00065F79" w:rsidRPr="00065F79" w:rsidRDefault="00065F79" w:rsidP="00065F79">
      <w:pPr>
        <w:pStyle w:val="ListParagraph"/>
        <w:rPr>
          <w:rFonts w:ascii="Arial" w:hAnsi="Arial" w:cs="Arial"/>
          <w:color w:val="222222"/>
          <w:szCs w:val="24"/>
        </w:rPr>
      </w:pPr>
    </w:p>
    <w:p w:rsidR="00065F79" w:rsidRDefault="001821BF" w:rsidP="00065F79">
      <w:pPr>
        <w:pStyle w:val="ListParagraph"/>
        <w:numPr>
          <w:ilvl w:val="0"/>
          <w:numId w:val="3"/>
        </w:numPr>
        <w:tabs>
          <w:tab w:val="right" w:pos="8731"/>
        </w:tabs>
        <w:ind w:left="1418" w:hanging="720"/>
        <w:jc w:val="both"/>
        <w:rPr>
          <w:rFonts w:ascii="Arial" w:hAnsi="Arial" w:cs="Arial"/>
          <w:color w:val="222222"/>
          <w:szCs w:val="24"/>
        </w:rPr>
      </w:pPr>
      <w:r>
        <w:rPr>
          <w:rFonts w:ascii="Arial" w:hAnsi="Arial" w:cs="Arial"/>
          <w:color w:val="222222"/>
          <w:szCs w:val="24"/>
        </w:rPr>
        <w:t>Part 35 (</w:t>
      </w:r>
      <w:r w:rsidR="00065F79">
        <w:rPr>
          <w:rFonts w:ascii="Arial" w:hAnsi="Arial" w:cs="Arial"/>
          <w:color w:val="222222"/>
          <w:szCs w:val="24"/>
        </w:rPr>
        <w:t>expert evidence).</w:t>
      </w:r>
    </w:p>
    <w:p w:rsidR="00065F79" w:rsidRPr="00065F79" w:rsidRDefault="00065F79" w:rsidP="00065F79">
      <w:pPr>
        <w:pStyle w:val="ListParagraph"/>
        <w:rPr>
          <w:rFonts w:ascii="Arial" w:hAnsi="Arial" w:cs="Arial"/>
          <w:color w:val="222222"/>
          <w:szCs w:val="24"/>
        </w:rPr>
      </w:pPr>
    </w:p>
    <w:p w:rsidR="00065F79" w:rsidRDefault="00065F79" w:rsidP="00065F79">
      <w:pPr>
        <w:pStyle w:val="ListParagraph"/>
        <w:numPr>
          <w:ilvl w:val="0"/>
          <w:numId w:val="3"/>
        </w:numPr>
        <w:tabs>
          <w:tab w:val="right" w:pos="8731"/>
        </w:tabs>
        <w:ind w:hanging="720"/>
        <w:jc w:val="both"/>
        <w:rPr>
          <w:rFonts w:ascii="Arial" w:hAnsi="Arial" w:cs="Arial"/>
          <w:color w:val="222222"/>
          <w:szCs w:val="24"/>
        </w:rPr>
      </w:pPr>
      <w:r>
        <w:rPr>
          <w:rFonts w:ascii="Arial" w:hAnsi="Arial" w:cs="Arial"/>
          <w:color w:val="222222"/>
          <w:szCs w:val="24"/>
        </w:rPr>
        <w:t>Diarising to ensure compliance with the court timetable.</w:t>
      </w:r>
    </w:p>
    <w:p w:rsidR="00065F79" w:rsidRPr="00065F79" w:rsidRDefault="00065F79" w:rsidP="00065F79">
      <w:pPr>
        <w:pStyle w:val="ListParagraph"/>
        <w:rPr>
          <w:rFonts w:ascii="Arial" w:hAnsi="Arial" w:cs="Arial"/>
          <w:color w:val="222222"/>
          <w:szCs w:val="24"/>
        </w:rPr>
      </w:pPr>
    </w:p>
    <w:p w:rsidR="00065F79" w:rsidRDefault="00065F79" w:rsidP="00065F79">
      <w:pPr>
        <w:pStyle w:val="ListParagraph"/>
        <w:numPr>
          <w:ilvl w:val="0"/>
          <w:numId w:val="3"/>
        </w:numPr>
        <w:tabs>
          <w:tab w:val="right" w:pos="8731"/>
        </w:tabs>
        <w:ind w:hanging="720"/>
        <w:jc w:val="both"/>
        <w:rPr>
          <w:rFonts w:ascii="Arial" w:hAnsi="Arial" w:cs="Arial"/>
          <w:color w:val="222222"/>
          <w:szCs w:val="24"/>
        </w:rPr>
      </w:pPr>
      <w:r>
        <w:rPr>
          <w:rFonts w:ascii="Arial" w:hAnsi="Arial" w:cs="Arial"/>
          <w:color w:val="222222"/>
          <w:szCs w:val="24"/>
        </w:rPr>
        <w:t>Where the timetable needs to be varied seeking agreement (and if necessary approval of the court) sooner rather than later.</w:t>
      </w:r>
    </w:p>
    <w:p w:rsidR="00065F79" w:rsidRPr="00065F79" w:rsidRDefault="00065F79" w:rsidP="00065F79">
      <w:pPr>
        <w:pStyle w:val="ListParagraph"/>
        <w:rPr>
          <w:rFonts w:ascii="Arial" w:hAnsi="Arial" w:cs="Arial"/>
          <w:color w:val="222222"/>
          <w:szCs w:val="24"/>
        </w:rPr>
      </w:pPr>
    </w:p>
    <w:p w:rsidR="00065F79" w:rsidRDefault="00065F79" w:rsidP="00065F79">
      <w:pPr>
        <w:pStyle w:val="ListParagraph"/>
        <w:numPr>
          <w:ilvl w:val="0"/>
          <w:numId w:val="3"/>
        </w:numPr>
        <w:tabs>
          <w:tab w:val="right" w:pos="8731"/>
        </w:tabs>
        <w:ind w:hanging="720"/>
        <w:jc w:val="both"/>
        <w:rPr>
          <w:rFonts w:ascii="Arial" w:hAnsi="Arial" w:cs="Arial"/>
          <w:color w:val="222222"/>
          <w:szCs w:val="24"/>
        </w:rPr>
      </w:pPr>
      <w:r>
        <w:rPr>
          <w:rFonts w:ascii="Arial" w:hAnsi="Arial" w:cs="Arial"/>
          <w:color w:val="222222"/>
          <w:szCs w:val="24"/>
        </w:rPr>
        <w:t>If application for relief from sanctions is necessary ensuring the court has information on all relevant “circumstances of the case” and why relief should be given to ensure the case is dealt with “justly”.</w:t>
      </w:r>
    </w:p>
    <w:p w:rsidR="00065F79" w:rsidRPr="00065F79" w:rsidRDefault="00065F79" w:rsidP="00065F79">
      <w:pPr>
        <w:pStyle w:val="ListParagraph"/>
        <w:rPr>
          <w:rFonts w:ascii="Arial" w:hAnsi="Arial" w:cs="Arial"/>
          <w:color w:val="222222"/>
          <w:szCs w:val="24"/>
        </w:rPr>
      </w:pPr>
    </w:p>
    <w:p w:rsidR="00065F79" w:rsidRPr="00065F79" w:rsidRDefault="00065F79" w:rsidP="00065F79">
      <w:pPr>
        <w:pStyle w:val="ListParagraph"/>
        <w:numPr>
          <w:ilvl w:val="0"/>
          <w:numId w:val="3"/>
        </w:numPr>
        <w:tabs>
          <w:tab w:val="right" w:pos="8731"/>
        </w:tabs>
        <w:ind w:hanging="720"/>
        <w:jc w:val="both"/>
        <w:rPr>
          <w:rFonts w:ascii="Arial" w:hAnsi="Arial" w:cs="Arial"/>
          <w:color w:val="222222"/>
          <w:szCs w:val="24"/>
        </w:rPr>
      </w:pPr>
      <w:r>
        <w:rPr>
          <w:rFonts w:ascii="Arial" w:hAnsi="Arial" w:cs="Arial"/>
          <w:color w:val="222222"/>
          <w:szCs w:val="24"/>
        </w:rPr>
        <w:t xml:space="preserve">If opposing an application for relief from sanctions reminding the court of the terms of </w:t>
      </w:r>
      <w:r w:rsidR="001821BF">
        <w:rPr>
          <w:rFonts w:ascii="Arial" w:hAnsi="Arial" w:cs="Arial"/>
          <w:color w:val="222222"/>
          <w:szCs w:val="24"/>
        </w:rPr>
        <w:t xml:space="preserve">Part 1, Part 3.9 and the need for courts to be “robust”.  </w:t>
      </w:r>
    </w:p>
    <w:p w:rsidR="00065F79" w:rsidRDefault="00065F79" w:rsidP="004B0F91">
      <w:pPr>
        <w:tabs>
          <w:tab w:val="right" w:pos="8731"/>
        </w:tabs>
        <w:jc w:val="both"/>
        <w:rPr>
          <w:rFonts w:ascii="Arial" w:hAnsi="Arial" w:cs="Arial"/>
          <w:color w:val="222222"/>
          <w:szCs w:val="24"/>
        </w:rPr>
      </w:pPr>
    </w:p>
    <w:p w:rsidR="001821BF" w:rsidRPr="00E544D2" w:rsidRDefault="001821BF" w:rsidP="001821BF">
      <w:pPr>
        <w:jc w:val="both"/>
        <w:rPr>
          <w:rFonts w:ascii="Arial" w:hAnsi="Arial" w:cs="Arial"/>
          <w:b/>
        </w:rPr>
      </w:pPr>
      <w:r w:rsidRPr="00E544D2">
        <w:rPr>
          <w:rFonts w:ascii="Arial" w:hAnsi="Arial" w:cs="Arial"/>
          <w:b/>
        </w:rPr>
        <w:t>QOCS (Qualified One-Way Costs Shifting)</w:t>
      </w:r>
    </w:p>
    <w:p w:rsidR="001821BF" w:rsidRDefault="001821BF" w:rsidP="004B0F91">
      <w:pPr>
        <w:tabs>
          <w:tab w:val="right" w:pos="8731"/>
        </w:tabs>
        <w:jc w:val="both"/>
        <w:rPr>
          <w:rFonts w:ascii="Arial" w:hAnsi="Arial" w:cs="Arial"/>
          <w:bCs/>
        </w:rPr>
      </w:pPr>
    </w:p>
    <w:p w:rsidR="00AB55A4" w:rsidRDefault="00AB55A4" w:rsidP="004B0F91">
      <w:pPr>
        <w:tabs>
          <w:tab w:val="right" w:pos="8731"/>
        </w:tabs>
        <w:jc w:val="both"/>
        <w:rPr>
          <w:rFonts w:ascii="Arial" w:hAnsi="Arial" w:cs="Arial"/>
          <w:bCs/>
        </w:rPr>
      </w:pPr>
      <w:r>
        <w:rPr>
          <w:rFonts w:ascii="Arial" w:hAnsi="Arial" w:cs="Arial"/>
          <w:bCs/>
        </w:rPr>
        <w:t xml:space="preserve">Lord Justice Jackson recommended the introduction of Qualified One-Way Costs Shifting.  </w:t>
      </w:r>
    </w:p>
    <w:p w:rsidR="00AB55A4" w:rsidRDefault="00AB55A4" w:rsidP="004B0F91">
      <w:pPr>
        <w:tabs>
          <w:tab w:val="right" w:pos="8731"/>
        </w:tabs>
        <w:jc w:val="both"/>
        <w:rPr>
          <w:rFonts w:ascii="Arial" w:hAnsi="Arial" w:cs="Arial"/>
          <w:bCs/>
        </w:rPr>
      </w:pPr>
    </w:p>
    <w:p w:rsidR="001821BF" w:rsidRPr="001821BF" w:rsidRDefault="001821BF" w:rsidP="004B0F91">
      <w:pPr>
        <w:tabs>
          <w:tab w:val="right" w:pos="8731"/>
        </w:tabs>
        <w:jc w:val="both"/>
        <w:rPr>
          <w:rFonts w:ascii="Arial" w:hAnsi="Arial" w:cs="Arial"/>
          <w:bCs/>
          <w:i/>
        </w:rPr>
      </w:pPr>
      <w:r w:rsidRPr="001821BF">
        <w:rPr>
          <w:rFonts w:ascii="Arial" w:hAnsi="Arial" w:cs="Arial"/>
          <w:bCs/>
          <w:i/>
        </w:rPr>
        <w:t>The CPR</w:t>
      </w:r>
    </w:p>
    <w:p w:rsidR="001821BF" w:rsidRDefault="001821BF" w:rsidP="004B0F91">
      <w:pPr>
        <w:tabs>
          <w:tab w:val="right" w:pos="8731"/>
        </w:tabs>
        <w:jc w:val="both"/>
        <w:rPr>
          <w:rFonts w:ascii="Arial" w:hAnsi="Arial" w:cs="Arial"/>
          <w:bCs/>
        </w:rPr>
      </w:pPr>
    </w:p>
    <w:p w:rsidR="001821BF" w:rsidRPr="00E544D2" w:rsidRDefault="001821BF" w:rsidP="001821BF">
      <w:pPr>
        <w:tabs>
          <w:tab w:val="right" w:pos="8731"/>
        </w:tabs>
        <w:jc w:val="both"/>
        <w:rPr>
          <w:rFonts w:ascii="Arial" w:hAnsi="Arial" w:cs="Arial"/>
        </w:rPr>
      </w:pPr>
      <w:r w:rsidRPr="00E544D2">
        <w:rPr>
          <w:rFonts w:ascii="Arial" w:hAnsi="Arial" w:cs="Arial"/>
        </w:rPr>
        <w:t xml:space="preserve">The Civil Procedure (Amendment) Rules 2013 introduce, from 1 April 2013, a number of amendments to the CPR including a new Section </w:t>
      </w:r>
      <w:r w:rsidRPr="00AB55A4">
        <w:rPr>
          <w:sz w:val="26"/>
          <w:szCs w:val="26"/>
        </w:rPr>
        <w:t>II</w:t>
      </w:r>
      <w:r w:rsidRPr="00E544D2">
        <w:rPr>
          <w:rFonts w:ascii="Arial" w:hAnsi="Arial" w:cs="Arial"/>
        </w:rPr>
        <w:t xml:space="preserve"> Part 44 dealing with QOCS.</w:t>
      </w:r>
    </w:p>
    <w:p w:rsidR="001821BF" w:rsidRPr="00E544D2" w:rsidRDefault="001821BF" w:rsidP="001821BF">
      <w:pPr>
        <w:tabs>
          <w:tab w:val="right" w:pos="8731"/>
        </w:tabs>
        <w:jc w:val="both"/>
        <w:rPr>
          <w:rFonts w:ascii="Arial" w:hAnsi="Arial" w:cs="Arial"/>
        </w:rPr>
      </w:pPr>
    </w:p>
    <w:p w:rsidR="001821BF" w:rsidRPr="00E544D2" w:rsidRDefault="001821BF" w:rsidP="001821BF">
      <w:pPr>
        <w:tabs>
          <w:tab w:val="right" w:pos="8731"/>
        </w:tabs>
        <w:jc w:val="both"/>
        <w:rPr>
          <w:rFonts w:ascii="Arial" w:hAnsi="Arial" w:cs="Arial"/>
        </w:rPr>
      </w:pPr>
      <w:r w:rsidRPr="00E544D2">
        <w:rPr>
          <w:rFonts w:ascii="Arial" w:hAnsi="Arial" w:cs="Arial"/>
        </w:rPr>
        <w:t>These rules provide:</w:t>
      </w:r>
    </w:p>
    <w:p w:rsidR="001821BF" w:rsidRPr="00E544D2" w:rsidRDefault="001821BF" w:rsidP="001821BF">
      <w:pPr>
        <w:tabs>
          <w:tab w:val="right" w:pos="8731"/>
        </w:tabs>
        <w:jc w:val="both"/>
        <w:rPr>
          <w:rFonts w:ascii="Arial" w:hAnsi="Arial" w:cs="Arial"/>
        </w:rPr>
      </w:pPr>
    </w:p>
    <w:p w:rsidR="001821BF" w:rsidRPr="00E544D2" w:rsidRDefault="001821BF" w:rsidP="001821BF">
      <w:pPr>
        <w:autoSpaceDE w:val="0"/>
        <w:autoSpaceDN w:val="0"/>
        <w:adjustRightInd w:val="0"/>
        <w:ind w:left="709"/>
        <w:jc w:val="both"/>
        <w:rPr>
          <w:rFonts w:ascii="Arial" w:hAnsi="Arial" w:cs="Arial"/>
          <w:b/>
          <w:bCs/>
          <w:szCs w:val="24"/>
          <w:lang w:val="en-US"/>
        </w:rPr>
      </w:pPr>
      <w:r w:rsidRPr="00E544D2">
        <w:rPr>
          <w:rFonts w:ascii="Arial" w:hAnsi="Arial" w:cs="Arial"/>
          <w:b/>
          <w:bCs/>
          <w:szCs w:val="24"/>
          <w:lang w:val="en-US"/>
        </w:rPr>
        <w:t>Qualified one-way costs shifting: scope and interpretation</w:t>
      </w:r>
    </w:p>
    <w:p w:rsidR="001821BF" w:rsidRPr="00E544D2" w:rsidRDefault="001821BF" w:rsidP="001821BF">
      <w:pPr>
        <w:autoSpaceDE w:val="0"/>
        <w:autoSpaceDN w:val="0"/>
        <w:adjustRightInd w:val="0"/>
        <w:ind w:left="709"/>
        <w:jc w:val="both"/>
        <w:rPr>
          <w:rFonts w:ascii="Arial" w:hAnsi="Arial" w:cs="Arial"/>
          <w:b/>
          <w:bCs/>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b/>
          <w:bCs/>
          <w:szCs w:val="24"/>
          <w:lang w:val="en-US"/>
        </w:rPr>
        <w:t>44.13.</w:t>
      </w:r>
      <w:r w:rsidRPr="00E544D2">
        <w:rPr>
          <w:rFonts w:ascii="Arial" w:hAnsi="Arial" w:cs="Arial"/>
          <w:szCs w:val="24"/>
          <w:lang w:val="en-US"/>
        </w:rPr>
        <w:t>—</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(1) This Section applies to proceedings which include a claim for damages—</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(a) for personal injuries;</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(b) under the Fatal Accidents Act 1976(</w:t>
      </w:r>
      <w:r w:rsidRPr="00E544D2">
        <w:rPr>
          <w:rFonts w:ascii="Arial" w:hAnsi="Arial" w:cs="Arial"/>
          <w:b/>
          <w:bCs/>
          <w:szCs w:val="24"/>
          <w:lang w:val="en-US"/>
        </w:rPr>
        <w:t>a</w:t>
      </w:r>
      <w:r w:rsidRPr="00E544D2">
        <w:rPr>
          <w:rFonts w:ascii="Arial" w:hAnsi="Arial" w:cs="Arial"/>
          <w:szCs w:val="24"/>
          <w:lang w:val="en-US"/>
        </w:rPr>
        <w:t>); or</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(c) which arises out of death or personal injury and survives for the benefit of an estate by virtue of section 1(1) of the Law Reform (Miscellaneous Provisions) Act 1934(</w:t>
      </w:r>
      <w:r w:rsidRPr="00E544D2">
        <w:rPr>
          <w:rFonts w:ascii="Arial" w:hAnsi="Arial" w:cs="Arial"/>
          <w:b/>
          <w:bCs/>
          <w:szCs w:val="24"/>
          <w:lang w:val="en-US"/>
        </w:rPr>
        <w:t>b</w:t>
      </w:r>
      <w:r w:rsidRPr="00E544D2">
        <w:rPr>
          <w:rFonts w:ascii="Arial" w:hAnsi="Arial" w:cs="Arial"/>
          <w:szCs w:val="24"/>
          <w:lang w:val="en-US"/>
        </w:rPr>
        <w:t>),</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but does not apply to applications pursuant to section 33 of the Senior Courts Act 1981</w:t>
      </w:r>
      <w:r w:rsidRPr="00E544D2">
        <w:rPr>
          <w:rFonts w:ascii="Arial" w:hAnsi="Arial" w:cs="Arial"/>
          <w:b/>
          <w:bCs/>
          <w:szCs w:val="24"/>
          <w:lang w:val="en-US"/>
        </w:rPr>
        <w:t xml:space="preserve">(c) </w:t>
      </w:r>
      <w:r w:rsidRPr="00E544D2">
        <w:rPr>
          <w:rFonts w:ascii="Arial" w:hAnsi="Arial" w:cs="Arial"/>
          <w:szCs w:val="24"/>
          <w:lang w:val="en-US"/>
        </w:rPr>
        <w:t>or section 52 of the County Courts Act 1984</w:t>
      </w:r>
      <w:r w:rsidRPr="00E544D2">
        <w:rPr>
          <w:rFonts w:ascii="Arial" w:hAnsi="Arial" w:cs="Arial"/>
          <w:b/>
          <w:bCs/>
          <w:szCs w:val="24"/>
          <w:lang w:val="en-US"/>
        </w:rPr>
        <w:t xml:space="preserve">(d) </w:t>
      </w:r>
      <w:r w:rsidRPr="00E544D2">
        <w:rPr>
          <w:rFonts w:ascii="Arial" w:hAnsi="Arial" w:cs="Arial"/>
          <w:szCs w:val="24"/>
          <w:lang w:val="en-US"/>
        </w:rPr>
        <w:t>(applications for pre-action disclosure), or where rule 44.17 applies.</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(2) In this Section, “claimant” means a person bringing a claim to which this Section applies or an estate on behalf of which such a claim is brought, and includes a person making a counterclaim or an additional claim.</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b/>
          <w:bCs/>
          <w:szCs w:val="24"/>
          <w:lang w:val="en-US"/>
        </w:rPr>
      </w:pPr>
      <w:r w:rsidRPr="00E544D2">
        <w:rPr>
          <w:rFonts w:ascii="Arial" w:hAnsi="Arial" w:cs="Arial"/>
          <w:b/>
          <w:bCs/>
          <w:szCs w:val="24"/>
          <w:lang w:val="en-US"/>
        </w:rPr>
        <w:t>Effect of qualified one-way costs shifting</w:t>
      </w:r>
    </w:p>
    <w:p w:rsidR="001821BF" w:rsidRPr="00E544D2" w:rsidRDefault="001821BF" w:rsidP="001821BF">
      <w:pPr>
        <w:autoSpaceDE w:val="0"/>
        <w:autoSpaceDN w:val="0"/>
        <w:adjustRightInd w:val="0"/>
        <w:ind w:left="709"/>
        <w:jc w:val="both"/>
        <w:rPr>
          <w:rFonts w:ascii="Arial" w:hAnsi="Arial" w:cs="Arial"/>
          <w:b/>
          <w:bCs/>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b/>
          <w:bCs/>
          <w:szCs w:val="24"/>
          <w:lang w:val="en-US"/>
        </w:rPr>
        <w:t>44.14.</w:t>
      </w:r>
      <w:r w:rsidRPr="00E544D2">
        <w:rPr>
          <w:rFonts w:ascii="Arial" w:hAnsi="Arial" w:cs="Arial"/>
          <w:szCs w:val="24"/>
          <w:lang w:val="en-US"/>
        </w:rPr>
        <w:t>—</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(1) Subject to rules 44.15 and 44.16, orders for costs made against a claimant may be enforced without the permission of the court but only to the extent that the aggregate amount in money terms of such orders does not exceed the aggregate amount in</w:t>
      </w:r>
    </w:p>
    <w:p w:rsidR="001821BF" w:rsidRPr="00E544D2" w:rsidRDefault="001821BF" w:rsidP="001821BF">
      <w:pPr>
        <w:tabs>
          <w:tab w:val="right" w:pos="8731"/>
        </w:tabs>
        <w:ind w:left="709"/>
        <w:jc w:val="both"/>
        <w:rPr>
          <w:rFonts w:ascii="Arial" w:hAnsi="Arial" w:cs="Arial"/>
          <w:szCs w:val="24"/>
          <w:lang w:val="en-US"/>
        </w:rPr>
      </w:pPr>
      <w:r w:rsidRPr="00E544D2">
        <w:rPr>
          <w:rFonts w:ascii="Arial" w:hAnsi="Arial" w:cs="Arial"/>
          <w:szCs w:val="24"/>
          <w:lang w:val="en-US"/>
        </w:rPr>
        <w:t>money terms of any orders for damages and interest made in favour of the claimant.</w:t>
      </w:r>
    </w:p>
    <w:p w:rsidR="001821BF" w:rsidRPr="00E544D2" w:rsidRDefault="001821BF" w:rsidP="001821BF">
      <w:pPr>
        <w:tabs>
          <w:tab w:val="right" w:pos="8731"/>
        </w:tabs>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lastRenderedPageBreak/>
        <w:t xml:space="preserve">(2) Orders for costs made against a claimant may only be enforced after the proceedings have been concluded and the costs have been assessed or agreed. </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(3) An order for costs which is enforced only to the extent permitted by paragraph (1) shall not be treated as an unsatisfied or outstanding judgment for the purposes of any court record.</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b/>
          <w:bCs/>
          <w:szCs w:val="24"/>
          <w:lang w:val="en-US"/>
        </w:rPr>
      </w:pPr>
      <w:r w:rsidRPr="00E544D2">
        <w:rPr>
          <w:rFonts w:ascii="Arial" w:hAnsi="Arial" w:cs="Arial"/>
          <w:b/>
          <w:bCs/>
          <w:szCs w:val="24"/>
          <w:lang w:val="en-US"/>
        </w:rPr>
        <w:t>Exceptions to qualified one-way costs shifting where permission not required</w:t>
      </w:r>
    </w:p>
    <w:p w:rsidR="001821BF" w:rsidRPr="00E544D2" w:rsidRDefault="001821BF" w:rsidP="001821BF">
      <w:pPr>
        <w:autoSpaceDE w:val="0"/>
        <w:autoSpaceDN w:val="0"/>
        <w:adjustRightInd w:val="0"/>
        <w:ind w:left="709"/>
        <w:jc w:val="both"/>
        <w:rPr>
          <w:rFonts w:ascii="Arial" w:hAnsi="Arial" w:cs="Arial"/>
          <w:b/>
          <w:bCs/>
          <w:szCs w:val="24"/>
          <w:lang w:val="en-US"/>
        </w:rPr>
      </w:pPr>
    </w:p>
    <w:p w:rsidR="001821BF" w:rsidRPr="00E544D2" w:rsidRDefault="001821BF" w:rsidP="001821BF">
      <w:pPr>
        <w:autoSpaceDE w:val="0"/>
        <w:autoSpaceDN w:val="0"/>
        <w:adjustRightInd w:val="0"/>
        <w:ind w:left="709"/>
        <w:jc w:val="both"/>
        <w:rPr>
          <w:rFonts w:ascii="Arial" w:hAnsi="Arial" w:cs="Arial"/>
          <w:b/>
          <w:bCs/>
          <w:szCs w:val="24"/>
          <w:lang w:val="en-US"/>
        </w:rPr>
      </w:pPr>
      <w:r w:rsidRPr="00E544D2">
        <w:rPr>
          <w:rFonts w:ascii="Arial" w:hAnsi="Arial" w:cs="Arial"/>
          <w:b/>
          <w:bCs/>
          <w:szCs w:val="24"/>
          <w:lang w:val="en-US"/>
        </w:rPr>
        <w:t>44.15.</w:t>
      </w:r>
    </w:p>
    <w:p w:rsidR="001821BF" w:rsidRPr="00E544D2" w:rsidRDefault="001821BF" w:rsidP="001821BF">
      <w:pPr>
        <w:autoSpaceDE w:val="0"/>
        <w:autoSpaceDN w:val="0"/>
        <w:adjustRightInd w:val="0"/>
        <w:ind w:left="709"/>
        <w:jc w:val="both"/>
        <w:rPr>
          <w:rFonts w:ascii="Arial" w:hAnsi="Arial" w:cs="Arial"/>
          <w:b/>
          <w:bCs/>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Orders for costs made against the claimant may be enforced to the full extent of such orders without the permission of the court where the proceedings have been struck out on the grounds that—</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(a) the claimant has disclosed no reasonable grounds for bringing the proceedings;</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(b) the proceedings are an abuse of the court’s process; or</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(c) the conduct of—</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(i) the claimant; or</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(ii) a person acting on the claimant’s behalf and with the claimant’s knowledge of such conduct,</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Default="001821BF" w:rsidP="001821BF">
      <w:pPr>
        <w:tabs>
          <w:tab w:val="right" w:pos="8731"/>
        </w:tabs>
        <w:ind w:left="709"/>
        <w:jc w:val="both"/>
        <w:rPr>
          <w:rFonts w:ascii="Arial" w:hAnsi="Arial" w:cs="Arial"/>
          <w:szCs w:val="24"/>
          <w:lang w:val="en-US"/>
        </w:rPr>
      </w:pPr>
      <w:r w:rsidRPr="00E544D2">
        <w:rPr>
          <w:rFonts w:ascii="Arial" w:hAnsi="Arial" w:cs="Arial"/>
          <w:szCs w:val="24"/>
          <w:lang w:val="en-US"/>
        </w:rPr>
        <w:t>is likely to obstruct the just disposal of the proceedings.</w:t>
      </w:r>
    </w:p>
    <w:p w:rsidR="001821BF" w:rsidRPr="00E544D2" w:rsidRDefault="001821BF" w:rsidP="001821BF">
      <w:pPr>
        <w:tabs>
          <w:tab w:val="right" w:pos="8731"/>
        </w:tabs>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b/>
          <w:bCs/>
          <w:szCs w:val="24"/>
          <w:lang w:val="en-US"/>
        </w:rPr>
      </w:pPr>
      <w:r w:rsidRPr="00E544D2">
        <w:rPr>
          <w:rFonts w:ascii="Arial" w:hAnsi="Arial" w:cs="Arial"/>
          <w:b/>
          <w:bCs/>
          <w:szCs w:val="24"/>
          <w:lang w:val="en-US"/>
        </w:rPr>
        <w:t>Exceptions to qualified one-way costs shifting where permission required</w:t>
      </w:r>
    </w:p>
    <w:p w:rsidR="001821BF" w:rsidRPr="00E544D2" w:rsidRDefault="001821BF" w:rsidP="001821BF">
      <w:pPr>
        <w:autoSpaceDE w:val="0"/>
        <w:autoSpaceDN w:val="0"/>
        <w:adjustRightInd w:val="0"/>
        <w:ind w:left="709"/>
        <w:jc w:val="both"/>
        <w:rPr>
          <w:rFonts w:ascii="Arial" w:hAnsi="Arial" w:cs="Arial"/>
          <w:b/>
          <w:bCs/>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b/>
          <w:bCs/>
          <w:szCs w:val="24"/>
          <w:lang w:val="en-US"/>
        </w:rPr>
        <w:t>44.16.</w:t>
      </w:r>
      <w:r w:rsidRPr="00E544D2">
        <w:rPr>
          <w:rFonts w:ascii="Arial" w:hAnsi="Arial" w:cs="Arial"/>
          <w:szCs w:val="24"/>
          <w:lang w:val="en-US"/>
        </w:rPr>
        <w:t>—</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(1) Orders for costs made against the claimant may be enforced to the full extent of such orders with the permission of the court where the claim is found on the balance of probabilities to be fundamentally dishonest.</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(2) Orders for costs made against the claimant may be enforced up to the full extent of such orders with the permission of the court, and to the extent that it considers just, where—</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(a) the proceedings include a claim which is made for the financial benefit of a person other than the claimant or a dependant within the meaning of section 1(3) of the Fatal Accidents Act 1976 (other than a claim in respect of the gratuitous provision of care, earnings paid by an employer or medical expenses); or</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(b) a claim is made for the benefit of the claimant other than a claim to which this Section applies.</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szCs w:val="24"/>
          <w:lang w:val="en-US"/>
        </w:rPr>
      </w:pPr>
      <w:r w:rsidRPr="00E544D2">
        <w:rPr>
          <w:rFonts w:ascii="Arial" w:hAnsi="Arial" w:cs="Arial"/>
          <w:szCs w:val="24"/>
          <w:lang w:val="en-US"/>
        </w:rPr>
        <w:t>(3) Where paragraph (2)(a) applies, the court may, subject to rule 46.2, make an order for costs against a person, other than the claimant, for whose financial benefit the whole or part of the claim was made.</w:t>
      </w:r>
    </w:p>
    <w:p w:rsidR="001821BF" w:rsidRPr="00E544D2" w:rsidRDefault="001821BF" w:rsidP="001821BF">
      <w:pPr>
        <w:autoSpaceDE w:val="0"/>
        <w:autoSpaceDN w:val="0"/>
        <w:adjustRightInd w:val="0"/>
        <w:ind w:left="709"/>
        <w:jc w:val="both"/>
        <w:rPr>
          <w:rFonts w:ascii="Arial" w:hAnsi="Arial" w:cs="Arial"/>
          <w:szCs w:val="24"/>
          <w:lang w:val="en-US"/>
        </w:rPr>
      </w:pPr>
    </w:p>
    <w:p w:rsidR="001821BF" w:rsidRPr="00E544D2" w:rsidRDefault="001821BF" w:rsidP="001821BF">
      <w:pPr>
        <w:autoSpaceDE w:val="0"/>
        <w:autoSpaceDN w:val="0"/>
        <w:adjustRightInd w:val="0"/>
        <w:ind w:left="709"/>
        <w:jc w:val="both"/>
        <w:rPr>
          <w:rFonts w:ascii="Arial" w:hAnsi="Arial" w:cs="Arial"/>
          <w:b/>
          <w:bCs/>
          <w:szCs w:val="24"/>
          <w:lang w:val="en-US"/>
        </w:rPr>
      </w:pPr>
      <w:r w:rsidRPr="00E544D2">
        <w:rPr>
          <w:rFonts w:ascii="Arial" w:hAnsi="Arial" w:cs="Arial"/>
          <w:b/>
          <w:bCs/>
          <w:szCs w:val="24"/>
          <w:lang w:val="en-US"/>
        </w:rPr>
        <w:t>Transitional provision</w:t>
      </w:r>
    </w:p>
    <w:p w:rsidR="001821BF" w:rsidRPr="00E544D2" w:rsidRDefault="001821BF" w:rsidP="001821BF">
      <w:pPr>
        <w:autoSpaceDE w:val="0"/>
        <w:autoSpaceDN w:val="0"/>
        <w:adjustRightInd w:val="0"/>
        <w:ind w:left="709"/>
        <w:jc w:val="both"/>
        <w:rPr>
          <w:rFonts w:ascii="Arial" w:hAnsi="Arial" w:cs="Arial"/>
          <w:b/>
          <w:bCs/>
          <w:szCs w:val="24"/>
          <w:lang w:val="en-US"/>
        </w:rPr>
      </w:pPr>
    </w:p>
    <w:p w:rsidR="001821BF" w:rsidRPr="00E544D2" w:rsidRDefault="001821BF" w:rsidP="001821BF">
      <w:pPr>
        <w:autoSpaceDE w:val="0"/>
        <w:autoSpaceDN w:val="0"/>
        <w:adjustRightInd w:val="0"/>
        <w:ind w:left="709"/>
        <w:jc w:val="both"/>
        <w:rPr>
          <w:rFonts w:ascii="Arial" w:hAnsi="Arial" w:cs="Arial"/>
          <w:b/>
          <w:bCs/>
          <w:szCs w:val="24"/>
          <w:lang w:val="en-US"/>
        </w:rPr>
      </w:pPr>
      <w:r w:rsidRPr="00E544D2">
        <w:rPr>
          <w:rFonts w:ascii="Arial" w:hAnsi="Arial" w:cs="Arial"/>
          <w:b/>
          <w:bCs/>
          <w:szCs w:val="24"/>
          <w:lang w:val="en-US"/>
        </w:rPr>
        <w:t>44.17.</w:t>
      </w:r>
    </w:p>
    <w:p w:rsidR="001821BF" w:rsidRPr="00E544D2" w:rsidRDefault="001821BF" w:rsidP="001821BF">
      <w:pPr>
        <w:autoSpaceDE w:val="0"/>
        <w:autoSpaceDN w:val="0"/>
        <w:adjustRightInd w:val="0"/>
        <w:ind w:left="709"/>
        <w:jc w:val="both"/>
        <w:rPr>
          <w:rFonts w:ascii="Arial" w:hAnsi="Arial" w:cs="Arial"/>
          <w:b/>
          <w:bCs/>
          <w:szCs w:val="24"/>
          <w:lang w:val="en-US"/>
        </w:rPr>
      </w:pPr>
    </w:p>
    <w:p w:rsidR="001821BF" w:rsidRPr="00E544D2" w:rsidRDefault="001821BF" w:rsidP="001821BF">
      <w:pPr>
        <w:autoSpaceDE w:val="0"/>
        <w:autoSpaceDN w:val="0"/>
        <w:adjustRightInd w:val="0"/>
        <w:ind w:left="709"/>
        <w:jc w:val="both"/>
        <w:rPr>
          <w:rFonts w:ascii="Arial" w:hAnsi="Arial" w:cs="Arial"/>
          <w:szCs w:val="24"/>
        </w:rPr>
      </w:pPr>
      <w:r w:rsidRPr="00E544D2">
        <w:rPr>
          <w:rFonts w:ascii="Arial" w:hAnsi="Arial" w:cs="Arial"/>
          <w:szCs w:val="24"/>
          <w:lang w:val="en-US"/>
        </w:rPr>
        <w:t>This Section does not apply to proceedings where the claimant has entered into a pre-commencement funding arrangement (as defined in rule 48.2).</w:t>
      </w:r>
    </w:p>
    <w:p w:rsidR="001821BF" w:rsidRDefault="001821BF" w:rsidP="004B0F91">
      <w:pPr>
        <w:tabs>
          <w:tab w:val="right" w:pos="8731"/>
        </w:tabs>
        <w:jc w:val="both"/>
        <w:rPr>
          <w:rFonts w:ascii="Arial" w:hAnsi="Arial" w:cs="Arial"/>
          <w:bCs/>
        </w:rPr>
      </w:pPr>
    </w:p>
    <w:p w:rsidR="001821BF" w:rsidRPr="00E544D2" w:rsidRDefault="001821BF" w:rsidP="001821BF">
      <w:pPr>
        <w:tabs>
          <w:tab w:val="right" w:pos="8731"/>
        </w:tabs>
        <w:jc w:val="both"/>
        <w:rPr>
          <w:rFonts w:ascii="Arial" w:hAnsi="Arial" w:cs="Arial"/>
          <w:bCs/>
          <w:i/>
        </w:rPr>
      </w:pPr>
      <w:r>
        <w:rPr>
          <w:rFonts w:ascii="Arial" w:hAnsi="Arial" w:cs="Arial"/>
          <w:bCs/>
          <w:i/>
        </w:rPr>
        <w:t xml:space="preserve">Claims </w:t>
      </w:r>
      <w:r w:rsidR="00D00F08">
        <w:rPr>
          <w:rFonts w:ascii="Arial" w:hAnsi="Arial" w:cs="Arial"/>
          <w:bCs/>
          <w:i/>
        </w:rPr>
        <w:t>within</w:t>
      </w:r>
      <w:r>
        <w:rPr>
          <w:rFonts w:ascii="Arial" w:hAnsi="Arial" w:cs="Arial"/>
          <w:bCs/>
          <w:i/>
        </w:rPr>
        <w:t xml:space="preserve"> the Scope of QOCS</w:t>
      </w:r>
    </w:p>
    <w:p w:rsidR="001821BF" w:rsidRPr="00E544D2" w:rsidRDefault="001821BF" w:rsidP="001821BF">
      <w:pPr>
        <w:tabs>
          <w:tab w:val="right" w:pos="8731"/>
        </w:tabs>
        <w:jc w:val="both"/>
        <w:rPr>
          <w:rFonts w:ascii="Arial" w:hAnsi="Arial" w:cs="Arial"/>
        </w:rPr>
      </w:pPr>
    </w:p>
    <w:p w:rsidR="001821BF" w:rsidRPr="00E544D2" w:rsidRDefault="001821BF" w:rsidP="001821BF">
      <w:pPr>
        <w:tabs>
          <w:tab w:val="right" w:pos="8731"/>
        </w:tabs>
        <w:jc w:val="both"/>
        <w:rPr>
          <w:rFonts w:ascii="Arial" w:hAnsi="Arial" w:cs="Arial"/>
        </w:rPr>
      </w:pPr>
      <w:r w:rsidRPr="00E544D2">
        <w:rPr>
          <w:rFonts w:ascii="Arial" w:hAnsi="Arial" w:cs="Arial"/>
        </w:rPr>
        <w:t>Part 44.12 confirms that QOCS applies to certain types of claim.  These are:</w:t>
      </w:r>
    </w:p>
    <w:p w:rsidR="001821BF" w:rsidRPr="00E544D2" w:rsidRDefault="001821BF" w:rsidP="001821BF">
      <w:pPr>
        <w:tabs>
          <w:tab w:val="right" w:pos="8731"/>
        </w:tabs>
        <w:jc w:val="both"/>
        <w:rPr>
          <w:rFonts w:ascii="Arial" w:hAnsi="Arial" w:cs="Arial"/>
        </w:rPr>
      </w:pPr>
    </w:p>
    <w:p w:rsidR="001821BF" w:rsidRPr="00E544D2" w:rsidRDefault="001821BF" w:rsidP="001821BF">
      <w:pPr>
        <w:numPr>
          <w:ilvl w:val="0"/>
          <w:numId w:val="13"/>
        </w:numPr>
        <w:tabs>
          <w:tab w:val="right" w:pos="8731"/>
        </w:tabs>
        <w:ind w:left="709" w:hanging="660"/>
        <w:jc w:val="both"/>
        <w:rPr>
          <w:rFonts w:ascii="Arial" w:hAnsi="Arial" w:cs="Arial"/>
        </w:rPr>
      </w:pPr>
      <w:r w:rsidRPr="00E544D2">
        <w:rPr>
          <w:rFonts w:ascii="Arial" w:hAnsi="Arial" w:cs="Arial"/>
        </w:rPr>
        <w:t>Any proceedings which include a claim for damages for personal injuries.  (Part 2.3 (1) confirms that in the CPR “claim for personal injuries” means proceedings in which there is a claim for damages in respect of personal injuries to the claimant or any other person or in respect of a person’s death, and “personal injuries” includes any disease and any impairment of a person’s physical or mental condition.)</w:t>
      </w:r>
    </w:p>
    <w:p w:rsidR="001821BF" w:rsidRPr="00E544D2" w:rsidRDefault="001821BF" w:rsidP="001821BF">
      <w:pPr>
        <w:tabs>
          <w:tab w:val="num" w:pos="709"/>
          <w:tab w:val="right" w:pos="8731"/>
        </w:tabs>
        <w:ind w:left="709" w:hanging="660"/>
        <w:jc w:val="both"/>
        <w:rPr>
          <w:rFonts w:ascii="Arial" w:hAnsi="Arial" w:cs="Arial"/>
        </w:rPr>
      </w:pPr>
    </w:p>
    <w:p w:rsidR="001821BF" w:rsidRPr="00E544D2" w:rsidRDefault="001821BF" w:rsidP="001821BF">
      <w:pPr>
        <w:numPr>
          <w:ilvl w:val="0"/>
          <w:numId w:val="13"/>
        </w:numPr>
        <w:tabs>
          <w:tab w:val="right" w:pos="8731"/>
        </w:tabs>
        <w:ind w:left="709" w:hanging="660"/>
        <w:jc w:val="both"/>
        <w:rPr>
          <w:rFonts w:ascii="Arial" w:hAnsi="Arial" w:cs="Arial"/>
        </w:rPr>
      </w:pPr>
      <w:r w:rsidRPr="00E544D2">
        <w:rPr>
          <w:rFonts w:ascii="Arial" w:hAnsi="Arial" w:cs="Arial"/>
        </w:rPr>
        <w:t>Proceedings which include a claim for damages under the Fatal Accidents Act 1976.</w:t>
      </w:r>
    </w:p>
    <w:p w:rsidR="001821BF" w:rsidRPr="00E544D2" w:rsidRDefault="001821BF" w:rsidP="001821BF">
      <w:pPr>
        <w:tabs>
          <w:tab w:val="num" w:pos="709"/>
          <w:tab w:val="right" w:pos="8731"/>
        </w:tabs>
        <w:ind w:left="709"/>
        <w:jc w:val="both"/>
        <w:rPr>
          <w:rFonts w:ascii="Arial" w:hAnsi="Arial" w:cs="Arial"/>
        </w:rPr>
      </w:pPr>
    </w:p>
    <w:p w:rsidR="001821BF" w:rsidRPr="00E544D2" w:rsidRDefault="001821BF" w:rsidP="001821BF">
      <w:pPr>
        <w:numPr>
          <w:ilvl w:val="0"/>
          <w:numId w:val="13"/>
        </w:numPr>
        <w:tabs>
          <w:tab w:val="right" w:pos="8731"/>
        </w:tabs>
        <w:ind w:left="709" w:hanging="660"/>
        <w:jc w:val="both"/>
        <w:rPr>
          <w:rFonts w:ascii="Arial" w:hAnsi="Arial" w:cs="Arial"/>
        </w:rPr>
      </w:pPr>
      <w:r w:rsidRPr="00E544D2">
        <w:rPr>
          <w:rFonts w:ascii="Arial" w:hAnsi="Arial" w:cs="Arial"/>
        </w:rPr>
        <w:t>Proceedings which include a claim for damages arising out of death or personal injury and survives for the benefit of an estate by virtue of S.</w:t>
      </w:r>
      <w:r w:rsidRPr="00D00F08">
        <w:rPr>
          <w:sz w:val="26"/>
          <w:szCs w:val="26"/>
        </w:rPr>
        <w:t>I</w:t>
      </w:r>
      <w:r w:rsidRPr="00E544D2">
        <w:rPr>
          <w:rFonts w:ascii="Arial" w:hAnsi="Arial" w:cs="Arial"/>
        </w:rPr>
        <w:t xml:space="preserve"> (1) Law Reform (Miscellaneous Provisions) Act 1934.</w:t>
      </w:r>
    </w:p>
    <w:p w:rsidR="001821BF" w:rsidRPr="00E544D2" w:rsidRDefault="001821BF" w:rsidP="001821BF">
      <w:pPr>
        <w:tabs>
          <w:tab w:val="right" w:pos="8731"/>
        </w:tabs>
        <w:jc w:val="both"/>
        <w:rPr>
          <w:rFonts w:ascii="Arial" w:hAnsi="Arial" w:cs="Arial"/>
        </w:rPr>
      </w:pPr>
    </w:p>
    <w:p w:rsidR="001821BF" w:rsidRDefault="001821BF" w:rsidP="001821BF">
      <w:pPr>
        <w:tabs>
          <w:tab w:val="right" w:pos="8731"/>
        </w:tabs>
        <w:jc w:val="both"/>
        <w:rPr>
          <w:rFonts w:ascii="Arial" w:hAnsi="Arial" w:cs="Arial"/>
        </w:rPr>
      </w:pPr>
      <w:r w:rsidRPr="00E544D2">
        <w:rPr>
          <w:rFonts w:ascii="Arial" w:hAnsi="Arial" w:cs="Arial"/>
        </w:rPr>
        <w:t>Whilst the rules provide for the “claimant” to have protection, Part 44.13 (2) confirms that for these purposes “claimant” means not only any person bringing a claim of the kind described in S.</w:t>
      </w:r>
      <w:r w:rsidRPr="00D00F08">
        <w:rPr>
          <w:sz w:val="26"/>
          <w:szCs w:val="26"/>
        </w:rPr>
        <w:t>II</w:t>
      </w:r>
      <w:r w:rsidRPr="00E544D2">
        <w:rPr>
          <w:rFonts w:ascii="Arial" w:hAnsi="Arial" w:cs="Arial"/>
        </w:rPr>
        <w:t xml:space="preserve"> but also an estate on behalf of which such a claim is brought as well as any person making a counterclaim or additional claim.</w:t>
      </w:r>
    </w:p>
    <w:p w:rsidR="00D00F08" w:rsidRDefault="00D00F08" w:rsidP="001821BF">
      <w:pPr>
        <w:tabs>
          <w:tab w:val="right" w:pos="8731"/>
        </w:tabs>
        <w:jc w:val="both"/>
        <w:rPr>
          <w:rFonts w:ascii="Arial" w:hAnsi="Arial" w:cs="Arial"/>
        </w:rPr>
      </w:pPr>
    </w:p>
    <w:p w:rsidR="00D00F08" w:rsidRDefault="00D00F08" w:rsidP="00D00F08">
      <w:pPr>
        <w:tabs>
          <w:tab w:val="right" w:pos="8731"/>
        </w:tabs>
        <w:jc w:val="both"/>
        <w:rPr>
          <w:rFonts w:ascii="Arial" w:hAnsi="Arial" w:cs="Arial"/>
        </w:rPr>
      </w:pPr>
      <w:r w:rsidRPr="00E544D2">
        <w:rPr>
          <w:rFonts w:ascii="Arial" w:hAnsi="Arial" w:cs="Arial"/>
        </w:rPr>
        <w:t>QOCS will not apply, under Part 44.17, where the claimant has what is defined as a “pre-commencement funding arrangement” which includes conditional fee agreements entered prior to 1 April 2013 and also conditional fee agreements in those areas where recoverability of additional liabilities will remain.</w:t>
      </w:r>
      <w:r>
        <w:rPr>
          <w:rFonts w:ascii="Arial" w:hAnsi="Arial" w:cs="Arial"/>
        </w:rPr>
        <w:t xml:space="preserve">  If, however, the claimant has a pre-April 2013 funding arrangement which does not amount to a “pre-commencement funding arrangement” then QOCS will apply, for example private funding/BTE.  </w:t>
      </w:r>
    </w:p>
    <w:p w:rsidR="00AB55A4" w:rsidRDefault="00AB55A4" w:rsidP="00D00F08">
      <w:pPr>
        <w:tabs>
          <w:tab w:val="right" w:pos="8731"/>
        </w:tabs>
        <w:jc w:val="both"/>
        <w:rPr>
          <w:rFonts w:ascii="Arial" w:hAnsi="Arial" w:cs="Arial"/>
        </w:rPr>
      </w:pPr>
    </w:p>
    <w:p w:rsidR="00AB55A4" w:rsidRDefault="00AB55A4" w:rsidP="00D00F08">
      <w:pPr>
        <w:tabs>
          <w:tab w:val="right" w:pos="8731"/>
        </w:tabs>
        <w:jc w:val="both"/>
        <w:rPr>
          <w:rFonts w:ascii="Arial" w:hAnsi="Arial" w:cs="Arial"/>
        </w:rPr>
      </w:pPr>
    </w:p>
    <w:p w:rsidR="00AB55A4" w:rsidRPr="00E544D2" w:rsidRDefault="00AB55A4" w:rsidP="00D00F08">
      <w:pPr>
        <w:tabs>
          <w:tab w:val="right" w:pos="8731"/>
        </w:tabs>
        <w:jc w:val="both"/>
        <w:rPr>
          <w:rFonts w:ascii="Arial" w:hAnsi="Arial" w:cs="Arial"/>
        </w:rPr>
      </w:pPr>
    </w:p>
    <w:p w:rsidR="001821BF" w:rsidRDefault="001821BF" w:rsidP="004B0F91">
      <w:pPr>
        <w:tabs>
          <w:tab w:val="right" w:pos="8731"/>
        </w:tabs>
        <w:jc w:val="both"/>
        <w:rPr>
          <w:rFonts w:ascii="Arial" w:hAnsi="Arial" w:cs="Arial"/>
          <w:bCs/>
        </w:rPr>
      </w:pPr>
    </w:p>
    <w:p w:rsidR="001821BF" w:rsidRPr="001821BF" w:rsidRDefault="001821BF" w:rsidP="004B0F91">
      <w:pPr>
        <w:tabs>
          <w:tab w:val="right" w:pos="8731"/>
        </w:tabs>
        <w:jc w:val="both"/>
        <w:rPr>
          <w:rFonts w:ascii="Arial" w:hAnsi="Arial" w:cs="Arial"/>
          <w:bCs/>
          <w:i/>
        </w:rPr>
      </w:pPr>
      <w:r>
        <w:rPr>
          <w:rFonts w:ascii="Arial" w:hAnsi="Arial" w:cs="Arial"/>
          <w:bCs/>
          <w:i/>
        </w:rPr>
        <w:lastRenderedPageBreak/>
        <w:t>Effect of QOCS</w:t>
      </w:r>
    </w:p>
    <w:p w:rsidR="001821BF" w:rsidRDefault="001821BF" w:rsidP="004B0F91">
      <w:pPr>
        <w:tabs>
          <w:tab w:val="right" w:pos="8731"/>
        </w:tabs>
        <w:jc w:val="both"/>
        <w:rPr>
          <w:rFonts w:ascii="Arial" w:hAnsi="Arial" w:cs="Arial"/>
          <w:bCs/>
        </w:rPr>
      </w:pPr>
    </w:p>
    <w:p w:rsidR="001821BF" w:rsidRDefault="001821BF" w:rsidP="004B0F91">
      <w:pPr>
        <w:tabs>
          <w:tab w:val="right" w:pos="8731"/>
        </w:tabs>
        <w:jc w:val="both"/>
        <w:rPr>
          <w:rFonts w:ascii="Arial" w:hAnsi="Arial" w:cs="Arial"/>
        </w:rPr>
      </w:pPr>
      <w:r>
        <w:rPr>
          <w:rFonts w:ascii="Arial" w:hAnsi="Arial" w:cs="Arial"/>
          <w:bCs/>
        </w:rPr>
        <w:t xml:space="preserve">Where QOCS applies any adverse costs orders can only be enforced up to the extent that </w:t>
      </w:r>
      <w:r w:rsidR="002A6AFF" w:rsidRPr="00E544D2">
        <w:rPr>
          <w:rFonts w:ascii="Arial" w:hAnsi="Arial" w:cs="Arial"/>
        </w:rPr>
        <w:t>“the aggregate amount in money terms of such orders does not exceed the aggregate amount in money terms of any orders for damages and interest made in favour of the claimant”.</w:t>
      </w:r>
    </w:p>
    <w:p w:rsidR="002A6AFF" w:rsidRDefault="002A6AFF" w:rsidP="004B0F91">
      <w:pPr>
        <w:tabs>
          <w:tab w:val="right" w:pos="8731"/>
        </w:tabs>
        <w:jc w:val="both"/>
        <w:rPr>
          <w:rFonts w:ascii="Arial" w:hAnsi="Arial" w:cs="Arial"/>
        </w:rPr>
      </w:pPr>
    </w:p>
    <w:p w:rsidR="002A6AFF" w:rsidRPr="00E544D2" w:rsidRDefault="002A6AFF" w:rsidP="002A6AFF">
      <w:pPr>
        <w:tabs>
          <w:tab w:val="right" w:pos="8731"/>
        </w:tabs>
        <w:jc w:val="both"/>
        <w:rPr>
          <w:rFonts w:ascii="Arial" w:hAnsi="Arial" w:cs="Arial"/>
        </w:rPr>
      </w:pPr>
      <w:r w:rsidRPr="00E544D2">
        <w:rPr>
          <w:rFonts w:ascii="Arial" w:hAnsi="Arial" w:cs="Arial"/>
        </w:rPr>
        <w:t>Consequently, a claimant who does not recover any damages, whilst an adverse costs order will still be made, will not, subject to the exceptions found in Parts 44.15 and 44.16, have to pay any costs.</w:t>
      </w:r>
    </w:p>
    <w:p w:rsidR="002A6AFF" w:rsidRPr="00E544D2" w:rsidRDefault="002A6AFF" w:rsidP="002A6AFF">
      <w:pPr>
        <w:tabs>
          <w:tab w:val="right" w:pos="8731"/>
        </w:tabs>
        <w:jc w:val="both"/>
        <w:rPr>
          <w:rFonts w:ascii="Arial" w:hAnsi="Arial" w:cs="Arial"/>
        </w:rPr>
      </w:pPr>
    </w:p>
    <w:p w:rsidR="002A6AFF" w:rsidRDefault="002A6AFF" w:rsidP="002A6AFF">
      <w:pPr>
        <w:tabs>
          <w:tab w:val="right" w:pos="8731"/>
        </w:tabs>
        <w:jc w:val="both"/>
        <w:rPr>
          <w:rFonts w:ascii="Arial" w:hAnsi="Arial" w:cs="Arial"/>
        </w:rPr>
      </w:pPr>
      <w:r w:rsidRPr="00E544D2">
        <w:rPr>
          <w:rFonts w:ascii="Arial" w:hAnsi="Arial" w:cs="Arial"/>
        </w:rPr>
        <w:t xml:space="preserve">Where a claimant does recover any damages then those damages are at risk to the extent that, although successful, there are adverse costs orders.  </w:t>
      </w:r>
      <w:r>
        <w:rPr>
          <w:rFonts w:ascii="Arial" w:hAnsi="Arial" w:cs="Arial"/>
        </w:rPr>
        <w:t xml:space="preserve">There may be adverse costs orders which have been made at interim hearings, by the court exercising the general discretion as to costs under Part 44 or under Part 36, in particular Part 36.10 (5) and part 36.14 (2).  </w:t>
      </w:r>
    </w:p>
    <w:p w:rsidR="002A6AFF" w:rsidRDefault="002A6AFF" w:rsidP="002A6AFF">
      <w:pPr>
        <w:tabs>
          <w:tab w:val="right" w:pos="8731"/>
        </w:tabs>
        <w:jc w:val="both"/>
        <w:rPr>
          <w:rFonts w:ascii="Arial" w:hAnsi="Arial" w:cs="Arial"/>
        </w:rPr>
      </w:pPr>
    </w:p>
    <w:p w:rsidR="002A6AFF" w:rsidRDefault="002A6AFF" w:rsidP="002A6AFF">
      <w:pPr>
        <w:tabs>
          <w:tab w:val="right" w:pos="8731"/>
        </w:tabs>
        <w:jc w:val="both"/>
        <w:rPr>
          <w:rFonts w:ascii="Arial" w:hAnsi="Arial" w:cs="Arial"/>
        </w:rPr>
      </w:pPr>
      <w:r>
        <w:rPr>
          <w:rFonts w:ascii="Arial" w:hAnsi="Arial" w:cs="Arial"/>
        </w:rPr>
        <w:t>A c</w:t>
      </w:r>
      <w:r w:rsidRPr="002A6AFF">
        <w:rPr>
          <w:rFonts w:ascii="Arial" w:hAnsi="Arial" w:cs="Arial"/>
        </w:rPr>
        <w:t>laimant</w:t>
      </w:r>
      <w:r>
        <w:rPr>
          <w:rFonts w:ascii="Arial" w:hAnsi="Arial" w:cs="Arial"/>
        </w:rPr>
        <w:t xml:space="preserve"> who does not recover damages will not have the protection of QOCS if any of the exceptions in the rules apply.  </w:t>
      </w:r>
    </w:p>
    <w:p w:rsidR="002A6AFF" w:rsidRDefault="002A6AFF" w:rsidP="002A6AFF">
      <w:pPr>
        <w:tabs>
          <w:tab w:val="right" w:pos="8731"/>
        </w:tabs>
        <w:jc w:val="both"/>
        <w:rPr>
          <w:rFonts w:ascii="Arial" w:hAnsi="Arial" w:cs="Arial"/>
        </w:rPr>
      </w:pPr>
    </w:p>
    <w:p w:rsidR="00D00F08" w:rsidRPr="00E544D2" w:rsidRDefault="00D00F08" w:rsidP="00D00F08">
      <w:pPr>
        <w:tabs>
          <w:tab w:val="right" w:pos="8731"/>
        </w:tabs>
        <w:jc w:val="both"/>
        <w:rPr>
          <w:rFonts w:ascii="Arial" w:hAnsi="Arial" w:cs="Arial"/>
          <w:bCs/>
          <w:i/>
        </w:rPr>
      </w:pPr>
      <w:r w:rsidRPr="00E544D2">
        <w:rPr>
          <w:rFonts w:ascii="Arial" w:hAnsi="Arial" w:cs="Arial"/>
          <w:bCs/>
          <w:i/>
        </w:rPr>
        <w:t>First Exception</w:t>
      </w:r>
    </w:p>
    <w:p w:rsidR="00D00F08" w:rsidRPr="00E544D2" w:rsidRDefault="00D00F08" w:rsidP="00D00F08">
      <w:pPr>
        <w:tabs>
          <w:tab w:val="right" w:pos="8731"/>
        </w:tabs>
        <w:jc w:val="both"/>
        <w:rPr>
          <w:rFonts w:ascii="Arial" w:hAnsi="Arial" w:cs="Arial"/>
        </w:rPr>
      </w:pPr>
    </w:p>
    <w:p w:rsidR="00D00F08" w:rsidRPr="00E544D2" w:rsidRDefault="00D00F08" w:rsidP="00D00F08">
      <w:pPr>
        <w:tabs>
          <w:tab w:val="right" w:pos="8731"/>
        </w:tabs>
        <w:jc w:val="both"/>
        <w:rPr>
          <w:rFonts w:ascii="Arial" w:hAnsi="Arial" w:cs="Arial"/>
        </w:rPr>
      </w:pPr>
      <w:r w:rsidRPr="00E544D2">
        <w:rPr>
          <w:rFonts w:ascii="Arial" w:hAnsi="Arial" w:cs="Arial"/>
        </w:rPr>
        <w:t xml:space="preserve">Under Part 44.15, orders for costs made against the claimant may be enforced to the full extent of such orders, without the permission of the court. </w:t>
      </w:r>
    </w:p>
    <w:p w:rsidR="00D00F08" w:rsidRPr="00E544D2" w:rsidRDefault="00D00F08" w:rsidP="00D00F08">
      <w:pPr>
        <w:tabs>
          <w:tab w:val="right" w:pos="8731"/>
        </w:tabs>
        <w:jc w:val="both"/>
        <w:rPr>
          <w:rFonts w:ascii="Arial" w:hAnsi="Arial" w:cs="Arial"/>
        </w:rPr>
      </w:pPr>
      <w:r w:rsidRPr="00E544D2">
        <w:rPr>
          <w:rFonts w:ascii="Arial" w:hAnsi="Arial" w:cs="Arial"/>
        </w:rPr>
        <w:t xml:space="preserve"> </w:t>
      </w:r>
    </w:p>
    <w:p w:rsidR="00D00F08" w:rsidRPr="00E544D2" w:rsidRDefault="00D00F08" w:rsidP="00D00F08">
      <w:pPr>
        <w:tabs>
          <w:tab w:val="right" w:pos="8731"/>
        </w:tabs>
        <w:jc w:val="both"/>
        <w:rPr>
          <w:rFonts w:ascii="Arial" w:hAnsi="Arial" w:cs="Arial"/>
        </w:rPr>
      </w:pPr>
      <w:r w:rsidRPr="00E544D2">
        <w:rPr>
          <w:rFonts w:ascii="Arial" w:hAnsi="Arial" w:cs="Arial"/>
        </w:rPr>
        <w:t>Part 44.15 will apply where the proceedings have been struck out on the grounds stated in the rule.</w:t>
      </w:r>
    </w:p>
    <w:p w:rsidR="00D00F08" w:rsidRPr="00E544D2" w:rsidRDefault="00D00F08" w:rsidP="00D00F08">
      <w:pPr>
        <w:tabs>
          <w:tab w:val="right" w:pos="8731"/>
        </w:tabs>
        <w:jc w:val="both"/>
        <w:rPr>
          <w:rFonts w:ascii="Arial" w:hAnsi="Arial" w:cs="Arial"/>
        </w:rPr>
      </w:pPr>
    </w:p>
    <w:p w:rsidR="00D00F08" w:rsidRDefault="00D00F08" w:rsidP="00D00F08">
      <w:pPr>
        <w:tabs>
          <w:tab w:val="right" w:pos="8731"/>
        </w:tabs>
        <w:jc w:val="both"/>
        <w:rPr>
          <w:rFonts w:ascii="Arial" w:hAnsi="Arial" w:cs="Arial"/>
        </w:rPr>
      </w:pPr>
      <w:r w:rsidRPr="00E544D2">
        <w:rPr>
          <w:rFonts w:ascii="Arial" w:hAnsi="Arial" w:cs="Arial"/>
        </w:rPr>
        <w:t>The grounds in Part 44.15, leading to the strike out, largely reflect those found in Part 3.4 (2), namely lack of reasonable grounds for bringing the proceedings, abuse of the court’s process or conduct, by on behalf of the claimant, likely to obstruct the just disposal of the proceedings.</w:t>
      </w:r>
    </w:p>
    <w:p w:rsidR="00D00F08" w:rsidRDefault="00D00F08" w:rsidP="00D00F08">
      <w:pPr>
        <w:tabs>
          <w:tab w:val="right" w:pos="8731"/>
        </w:tabs>
        <w:jc w:val="both"/>
        <w:rPr>
          <w:rFonts w:ascii="Arial" w:hAnsi="Arial" w:cs="Arial"/>
        </w:rPr>
      </w:pPr>
    </w:p>
    <w:p w:rsidR="00D00F08" w:rsidRDefault="00D00F08" w:rsidP="00D00F08">
      <w:pPr>
        <w:tabs>
          <w:tab w:val="right" w:pos="8731"/>
        </w:tabs>
        <w:jc w:val="both"/>
        <w:rPr>
          <w:rFonts w:ascii="Arial" w:hAnsi="Arial" w:cs="Arial"/>
        </w:rPr>
      </w:pPr>
      <w:r>
        <w:rPr>
          <w:rFonts w:ascii="Arial" w:hAnsi="Arial" w:cs="Arial"/>
        </w:rPr>
        <w:t xml:space="preserve">When dealing with an application to strike out the court </w:t>
      </w:r>
      <w:r w:rsidR="00AB55A4">
        <w:rPr>
          <w:rFonts w:ascii="Arial" w:hAnsi="Arial" w:cs="Arial"/>
        </w:rPr>
        <w:t xml:space="preserve">is only deciding whether there are reasonable grounds for pursuing or defending a claim, for example </w:t>
      </w:r>
      <w:r w:rsidR="00AB55A4">
        <w:rPr>
          <w:rFonts w:ascii="Arial" w:hAnsi="Arial" w:cs="Arial"/>
          <w:u w:val="single"/>
        </w:rPr>
        <w:t>Page</w:t>
      </w:r>
      <w:r w:rsidR="00AB55A4">
        <w:rPr>
          <w:rFonts w:ascii="Arial" w:hAnsi="Arial" w:cs="Arial"/>
        </w:rPr>
        <w:t xml:space="preserve"> </w:t>
      </w:r>
      <w:r w:rsidR="00AB55A4" w:rsidRPr="00AB55A4">
        <w:rPr>
          <w:rFonts w:ascii="Arial" w:hAnsi="Arial" w:cs="Arial"/>
          <w:iCs/>
        </w:rPr>
        <w:t xml:space="preserve">-v- </w:t>
      </w:r>
      <w:r w:rsidR="00AB55A4">
        <w:rPr>
          <w:rFonts w:ascii="Arial" w:hAnsi="Arial" w:cs="Arial"/>
          <w:u w:val="single"/>
        </w:rPr>
        <w:t>Hewett Solicitors</w:t>
      </w:r>
      <w:r w:rsidR="00AB55A4">
        <w:rPr>
          <w:rFonts w:ascii="Arial" w:hAnsi="Arial" w:cs="Arial"/>
        </w:rPr>
        <w:t xml:space="preserve"> [2012] EWCA Civ 879.    </w:t>
      </w:r>
    </w:p>
    <w:p w:rsidR="00AB55A4" w:rsidRPr="00E544D2" w:rsidRDefault="00AB55A4" w:rsidP="00D00F08">
      <w:pPr>
        <w:tabs>
          <w:tab w:val="right" w:pos="8731"/>
        </w:tabs>
        <w:jc w:val="both"/>
        <w:rPr>
          <w:rFonts w:ascii="Arial" w:hAnsi="Arial" w:cs="Arial"/>
        </w:rPr>
      </w:pPr>
    </w:p>
    <w:p w:rsidR="00D00F08" w:rsidRPr="00E544D2" w:rsidRDefault="00D00F08" w:rsidP="00D00F08">
      <w:pPr>
        <w:tabs>
          <w:tab w:val="right" w:pos="8731"/>
        </w:tabs>
        <w:jc w:val="both"/>
        <w:rPr>
          <w:rFonts w:ascii="Arial" w:hAnsi="Arial" w:cs="Arial"/>
          <w:bCs/>
          <w:i/>
        </w:rPr>
      </w:pPr>
      <w:r w:rsidRPr="00E544D2">
        <w:rPr>
          <w:rFonts w:ascii="Arial" w:hAnsi="Arial" w:cs="Arial"/>
          <w:bCs/>
          <w:i/>
        </w:rPr>
        <w:t>Second Exception</w:t>
      </w:r>
    </w:p>
    <w:p w:rsidR="00D00F08" w:rsidRPr="00E544D2" w:rsidRDefault="00D00F08" w:rsidP="00D00F08">
      <w:pPr>
        <w:tabs>
          <w:tab w:val="right" w:pos="8731"/>
        </w:tabs>
        <w:jc w:val="both"/>
        <w:rPr>
          <w:rFonts w:ascii="Arial" w:hAnsi="Arial" w:cs="Arial"/>
        </w:rPr>
      </w:pPr>
    </w:p>
    <w:p w:rsidR="00D00F08" w:rsidRDefault="00D00F08" w:rsidP="00D00F08">
      <w:pPr>
        <w:tabs>
          <w:tab w:val="right" w:pos="8731"/>
        </w:tabs>
        <w:jc w:val="both"/>
        <w:rPr>
          <w:rFonts w:ascii="Arial" w:hAnsi="Arial" w:cs="Arial"/>
        </w:rPr>
      </w:pPr>
      <w:r w:rsidRPr="00E544D2">
        <w:rPr>
          <w:rFonts w:ascii="Arial" w:hAnsi="Arial" w:cs="Arial"/>
        </w:rPr>
        <w:t>Under Part 44.16 (1) orders for costs made against the claimant may be enforced to the full extent of such orders, with the permission of the court, where the claim is found, on a balance of probabilities, to be fundamentally dishonest.</w:t>
      </w:r>
    </w:p>
    <w:p w:rsidR="00244B63" w:rsidRDefault="00244B63" w:rsidP="00D00F08">
      <w:pPr>
        <w:tabs>
          <w:tab w:val="right" w:pos="8731"/>
        </w:tabs>
        <w:jc w:val="both"/>
        <w:rPr>
          <w:rFonts w:ascii="Arial" w:hAnsi="Arial" w:cs="Arial"/>
        </w:rPr>
      </w:pPr>
    </w:p>
    <w:p w:rsidR="00244B63" w:rsidRDefault="00244B63" w:rsidP="00D00F08">
      <w:pPr>
        <w:tabs>
          <w:tab w:val="right" w:pos="8731"/>
        </w:tabs>
        <w:jc w:val="both"/>
        <w:rPr>
          <w:rFonts w:ascii="Arial" w:hAnsi="Arial" w:cs="Arial"/>
        </w:rPr>
      </w:pPr>
      <w:r>
        <w:rPr>
          <w:rFonts w:ascii="Arial" w:hAnsi="Arial" w:cs="Arial"/>
        </w:rPr>
        <w:t xml:space="preserve">Allegations of this kind should be pleaded not insinuated:  </w:t>
      </w:r>
      <w:r>
        <w:rPr>
          <w:rFonts w:ascii="Arial" w:hAnsi="Arial" w:cs="Arial"/>
          <w:u w:val="single"/>
        </w:rPr>
        <w:t>Hussain</w:t>
      </w:r>
      <w:r>
        <w:rPr>
          <w:rFonts w:ascii="Arial" w:hAnsi="Arial" w:cs="Arial"/>
        </w:rPr>
        <w:t xml:space="preserve"> </w:t>
      </w:r>
      <w:r w:rsidRPr="00244B63">
        <w:rPr>
          <w:rFonts w:ascii="Arial" w:hAnsi="Arial" w:cs="Arial"/>
          <w:iCs/>
        </w:rPr>
        <w:t xml:space="preserve">-v- </w:t>
      </w:r>
      <w:r>
        <w:rPr>
          <w:rFonts w:ascii="Arial" w:hAnsi="Arial" w:cs="Arial"/>
          <w:u w:val="single"/>
        </w:rPr>
        <w:t>Amin</w:t>
      </w:r>
      <w:r>
        <w:rPr>
          <w:rFonts w:ascii="Arial" w:hAnsi="Arial" w:cs="Arial"/>
        </w:rPr>
        <w:t xml:space="preserve"> [2012] EWCA Civ 1456.</w:t>
      </w:r>
    </w:p>
    <w:p w:rsidR="00244B63" w:rsidRDefault="00244B63" w:rsidP="00D00F08">
      <w:pPr>
        <w:tabs>
          <w:tab w:val="right" w:pos="8731"/>
        </w:tabs>
        <w:jc w:val="both"/>
        <w:rPr>
          <w:rFonts w:ascii="Arial" w:hAnsi="Arial" w:cs="Arial"/>
        </w:rPr>
      </w:pPr>
    </w:p>
    <w:p w:rsidR="00AB55A4" w:rsidRDefault="00244B63" w:rsidP="00204037">
      <w:pPr>
        <w:tabs>
          <w:tab w:val="right" w:pos="8731"/>
        </w:tabs>
        <w:jc w:val="both"/>
        <w:rPr>
          <w:rFonts w:ascii="Arial" w:hAnsi="Arial" w:cs="Arial"/>
        </w:rPr>
      </w:pPr>
      <w:r>
        <w:rPr>
          <w:rFonts w:ascii="Arial" w:hAnsi="Arial" w:cs="Arial"/>
        </w:rPr>
        <w:t xml:space="preserve">Would the claimant’s case in </w:t>
      </w:r>
      <w:r>
        <w:rPr>
          <w:rFonts w:ascii="Arial" w:hAnsi="Arial" w:cs="Arial"/>
          <w:u w:val="single"/>
        </w:rPr>
        <w:t>Summers</w:t>
      </w:r>
      <w:r>
        <w:rPr>
          <w:rFonts w:ascii="Arial" w:hAnsi="Arial" w:cs="Arial"/>
        </w:rPr>
        <w:t xml:space="preserve"> </w:t>
      </w:r>
      <w:r w:rsidRPr="00244B63">
        <w:rPr>
          <w:rFonts w:ascii="Arial" w:hAnsi="Arial" w:cs="Arial"/>
          <w:iCs/>
        </w:rPr>
        <w:t xml:space="preserve">-v- </w:t>
      </w:r>
      <w:r w:rsidRPr="00E544D2">
        <w:rPr>
          <w:rFonts w:ascii="Arial" w:hAnsi="Arial" w:cs="Arial"/>
          <w:szCs w:val="24"/>
          <w:u w:val="single"/>
        </w:rPr>
        <w:t>Fairclough Homes Ltd</w:t>
      </w:r>
      <w:r w:rsidRPr="00E544D2">
        <w:rPr>
          <w:rFonts w:ascii="Arial" w:hAnsi="Arial" w:cs="Arial"/>
          <w:szCs w:val="24"/>
        </w:rPr>
        <w:t xml:space="preserve"> </w:t>
      </w:r>
      <w:r w:rsidRPr="00E544D2">
        <w:rPr>
          <w:rFonts w:ascii="Arial" w:hAnsi="Arial" w:cs="Arial"/>
          <w:sz w:val="19"/>
          <w:szCs w:val="19"/>
        </w:rPr>
        <w:t>[</w:t>
      </w:r>
      <w:r w:rsidRPr="00E544D2">
        <w:rPr>
          <w:rFonts w:ascii="Arial" w:hAnsi="Arial" w:cs="Arial"/>
          <w:szCs w:val="24"/>
        </w:rPr>
        <w:t>2012] UKSC 26</w:t>
      </w:r>
      <w:r>
        <w:rPr>
          <w:rFonts w:ascii="Arial" w:hAnsi="Arial" w:cs="Arial"/>
          <w:szCs w:val="24"/>
        </w:rPr>
        <w:t xml:space="preserve"> be regarded as “fundamentally dishonest”</w:t>
      </w:r>
      <w:r w:rsidR="00AB55A4">
        <w:rPr>
          <w:rFonts w:ascii="Arial" w:hAnsi="Arial" w:cs="Arial"/>
          <w:szCs w:val="24"/>
        </w:rPr>
        <w:t>,</w:t>
      </w:r>
      <w:r>
        <w:rPr>
          <w:rFonts w:ascii="Arial" w:hAnsi="Arial" w:cs="Arial"/>
          <w:szCs w:val="24"/>
        </w:rPr>
        <w:t xml:space="preserve"> given that the claimant had genuine claims for injuries suffered as a result of the defendant’s breach of duty?</w:t>
      </w:r>
    </w:p>
    <w:sectPr w:rsidR="00AB55A4" w:rsidSect="00796381">
      <w:headerReference w:type="first" r:id="rId8"/>
      <w:type w:val="continuous"/>
      <w:pgSz w:w="11907" w:h="16840" w:code="9"/>
      <w:pgMar w:top="1701" w:right="1588" w:bottom="1418" w:left="1588" w:header="720" w:footer="72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DA" w:rsidRDefault="00683BDA">
      <w:r>
        <w:separator/>
      </w:r>
    </w:p>
  </w:endnote>
  <w:endnote w:type="continuationSeparator" w:id="0">
    <w:p w:rsidR="00683BDA" w:rsidRDefault="0068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DA" w:rsidRDefault="00683BDA">
      <w:r>
        <w:separator/>
      </w:r>
    </w:p>
  </w:footnote>
  <w:footnote w:type="continuationSeparator" w:id="0">
    <w:p w:rsidR="00683BDA" w:rsidRDefault="0068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1A" w:rsidRDefault="0086391A">
    <w:pPr>
      <w:pStyle w:val="Header"/>
    </w:pPr>
  </w:p>
  <w:p w:rsidR="0086391A" w:rsidRDefault="00863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0B33"/>
    <w:multiLevelType w:val="hybridMultilevel"/>
    <w:tmpl w:val="AE30F844"/>
    <w:lvl w:ilvl="0" w:tplc="734A4F9C">
      <w:start w:val="1"/>
      <w:numFmt w:val="lowerRoman"/>
      <w:lvlText w:val="(%1)"/>
      <w:lvlJc w:val="left"/>
      <w:pPr>
        <w:ind w:left="1996" w:hanging="720"/>
      </w:pPr>
      <w:rPr>
        <w:rFonts w:cs="Times New Roman" w:hint="default"/>
      </w:rPr>
    </w:lvl>
    <w:lvl w:ilvl="1" w:tplc="08090019" w:tentative="1">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1">
    <w:nsid w:val="13A72EAF"/>
    <w:multiLevelType w:val="hybridMultilevel"/>
    <w:tmpl w:val="8CA65642"/>
    <w:lvl w:ilvl="0" w:tplc="4BEE590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
    <w:nsid w:val="14F813B1"/>
    <w:multiLevelType w:val="hybridMultilevel"/>
    <w:tmpl w:val="57163E2C"/>
    <w:lvl w:ilvl="0" w:tplc="80F46E4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nsid w:val="1DC82EAD"/>
    <w:multiLevelType w:val="hybridMultilevel"/>
    <w:tmpl w:val="7C16C68A"/>
    <w:lvl w:ilvl="0" w:tplc="FDD8EC3C">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4">
    <w:nsid w:val="23F46E02"/>
    <w:multiLevelType w:val="hybridMultilevel"/>
    <w:tmpl w:val="273ED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085C0C"/>
    <w:multiLevelType w:val="hybridMultilevel"/>
    <w:tmpl w:val="2A52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C6A83"/>
    <w:multiLevelType w:val="hybridMultilevel"/>
    <w:tmpl w:val="B45A81A0"/>
    <w:lvl w:ilvl="0" w:tplc="C70A534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2F313464"/>
    <w:multiLevelType w:val="hybridMultilevel"/>
    <w:tmpl w:val="6464C280"/>
    <w:lvl w:ilvl="0" w:tplc="1DFC99EC">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8">
    <w:nsid w:val="319C7B33"/>
    <w:multiLevelType w:val="hybridMultilevel"/>
    <w:tmpl w:val="50D2E4E8"/>
    <w:lvl w:ilvl="0" w:tplc="F9500CFA">
      <w:start w:val="1"/>
      <w:numFmt w:val="lowerRoman"/>
      <w:lvlText w:val="(%1)"/>
      <w:lvlJc w:val="left"/>
      <w:pPr>
        <w:ind w:left="2138" w:hanging="72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9">
    <w:nsid w:val="34BA6EC2"/>
    <w:multiLevelType w:val="hybridMultilevel"/>
    <w:tmpl w:val="B8CE40B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398E4C00"/>
    <w:multiLevelType w:val="hybridMultilevel"/>
    <w:tmpl w:val="D076B3B8"/>
    <w:lvl w:ilvl="0" w:tplc="06A43FEC">
      <w:start w:val="1"/>
      <w:numFmt w:val="lowerLetter"/>
      <w:lvlText w:val="(%1)"/>
      <w:lvlJc w:val="left"/>
      <w:pPr>
        <w:ind w:left="2091" w:hanging="390"/>
      </w:pPr>
      <w:rPr>
        <w:rFonts w:cs="Times New Roman" w:hint="default"/>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11">
    <w:nsid w:val="46074741"/>
    <w:multiLevelType w:val="hybridMultilevel"/>
    <w:tmpl w:val="6EA8AB4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nsid w:val="473E67B4"/>
    <w:multiLevelType w:val="hybridMultilevel"/>
    <w:tmpl w:val="1772F732"/>
    <w:lvl w:ilvl="0" w:tplc="9B8E32B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51601542"/>
    <w:multiLevelType w:val="hybridMultilevel"/>
    <w:tmpl w:val="AB7C5B6C"/>
    <w:lvl w:ilvl="0" w:tplc="6BCC0322">
      <w:start w:val="1"/>
      <w:numFmt w:val="lowerRoman"/>
      <w:lvlText w:val="(%1)"/>
      <w:lvlJc w:val="left"/>
      <w:pPr>
        <w:ind w:left="2138" w:hanging="72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14">
    <w:nsid w:val="54DC381D"/>
    <w:multiLevelType w:val="hybridMultilevel"/>
    <w:tmpl w:val="065A2756"/>
    <w:lvl w:ilvl="0" w:tplc="90D4C2D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nsid w:val="5F3252F1"/>
    <w:multiLevelType w:val="hybridMultilevel"/>
    <w:tmpl w:val="6436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1B7E71"/>
    <w:multiLevelType w:val="hybridMultilevel"/>
    <w:tmpl w:val="D076B3B8"/>
    <w:lvl w:ilvl="0" w:tplc="06A43FEC">
      <w:start w:val="1"/>
      <w:numFmt w:val="lowerLetter"/>
      <w:lvlText w:val="(%1)"/>
      <w:lvlJc w:val="left"/>
      <w:pPr>
        <w:ind w:left="2091" w:hanging="390"/>
      </w:pPr>
      <w:rPr>
        <w:rFonts w:cs="Times New Roman" w:hint="default"/>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17">
    <w:nsid w:val="747B5A8D"/>
    <w:multiLevelType w:val="hybridMultilevel"/>
    <w:tmpl w:val="25AE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2F180E"/>
    <w:multiLevelType w:val="hybridMultilevel"/>
    <w:tmpl w:val="1CC03A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046C45"/>
    <w:multiLevelType w:val="hybridMultilevel"/>
    <w:tmpl w:val="26F61812"/>
    <w:lvl w:ilvl="0" w:tplc="8EA03882">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num w:numId="1">
    <w:abstractNumId w:val="0"/>
  </w:num>
  <w:num w:numId="2">
    <w:abstractNumId w:val="10"/>
  </w:num>
  <w:num w:numId="3">
    <w:abstractNumId w:val="5"/>
  </w:num>
  <w:num w:numId="4">
    <w:abstractNumId w:val="9"/>
  </w:num>
  <w:num w:numId="5">
    <w:abstractNumId w:val="7"/>
  </w:num>
  <w:num w:numId="6">
    <w:abstractNumId w:val="2"/>
  </w:num>
  <w:num w:numId="7">
    <w:abstractNumId w:val="6"/>
  </w:num>
  <w:num w:numId="8">
    <w:abstractNumId w:val="12"/>
  </w:num>
  <w:num w:numId="9">
    <w:abstractNumId w:val="19"/>
  </w:num>
  <w:num w:numId="10">
    <w:abstractNumId w:val="14"/>
  </w:num>
  <w:num w:numId="11">
    <w:abstractNumId w:val="1"/>
  </w:num>
  <w:num w:numId="12">
    <w:abstractNumId w:val="16"/>
  </w:num>
  <w:num w:numId="13">
    <w:abstractNumId w:val="18"/>
  </w:num>
  <w:num w:numId="14">
    <w:abstractNumId w:val="3"/>
  </w:num>
  <w:num w:numId="15">
    <w:abstractNumId w:val="8"/>
  </w:num>
  <w:num w:numId="16">
    <w:abstractNumId w:val="13"/>
  </w:num>
  <w:num w:numId="17">
    <w:abstractNumId w:val="15"/>
  </w:num>
  <w:num w:numId="18">
    <w:abstractNumId w:val="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0E"/>
    <w:rsid w:val="00056D66"/>
    <w:rsid w:val="00065F79"/>
    <w:rsid w:val="000701E4"/>
    <w:rsid w:val="00071E26"/>
    <w:rsid w:val="00137FC6"/>
    <w:rsid w:val="001601EA"/>
    <w:rsid w:val="001821BF"/>
    <w:rsid w:val="001A175D"/>
    <w:rsid w:val="001B185E"/>
    <w:rsid w:val="001E5282"/>
    <w:rsid w:val="00204037"/>
    <w:rsid w:val="00215B04"/>
    <w:rsid w:val="00223435"/>
    <w:rsid w:val="00227CB4"/>
    <w:rsid w:val="00242287"/>
    <w:rsid w:val="00244B63"/>
    <w:rsid w:val="00245635"/>
    <w:rsid w:val="00264529"/>
    <w:rsid w:val="002A6AFF"/>
    <w:rsid w:val="002E5438"/>
    <w:rsid w:val="002F2E7E"/>
    <w:rsid w:val="002F492F"/>
    <w:rsid w:val="002F5015"/>
    <w:rsid w:val="00352AB4"/>
    <w:rsid w:val="0036780F"/>
    <w:rsid w:val="00377150"/>
    <w:rsid w:val="003A3BE8"/>
    <w:rsid w:val="003B1067"/>
    <w:rsid w:val="003B7B9E"/>
    <w:rsid w:val="0040274D"/>
    <w:rsid w:val="00411E70"/>
    <w:rsid w:val="004326E2"/>
    <w:rsid w:val="00485A87"/>
    <w:rsid w:val="0049343F"/>
    <w:rsid w:val="004B0E0E"/>
    <w:rsid w:val="004B0F91"/>
    <w:rsid w:val="004D7D14"/>
    <w:rsid w:val="00516747"/>
    <w:rsid w:val="00530DEE"/>
    <w:rsid w:val="0055181B"/>
    <w:rsid w:val="005614B5"/>
    <w:rsid w:val="005856F2"/>
    <w:rsid w:val="00595386"/>
    <w:rsid w:val="00596415"/>
    <w:rsid w:val="005B3F4D"/>
    <w:rsid w:val="005D4BDB"/>
    <w:rsid w:val="005F0C52"/>
    <w:rsid w:val="0062262E"/>
    <w:rsid w:val="00636DAF"/>
    <w:rsid w:val="00652E0A"/>
    <w:rsid w:val="00683BDA"/>
    <w:rsid w:val="006841CF"/>
    <w:rsid w:val="006C419A"/>
    <w:rsid w:val="006C45E2"/>
    <w:rsid w:val="006E3D83"/>
    <w:rsid w:val="0070257D"/>
    <w:rsid w:val="007045C1"/>
    <w:rsid w:val="0076480D"/>
    <w:rsid w:val="007729CE"/>
    <w:rsid w:val="007820E5"/>
    <w:rsid w:val="0079047C"/>
    <w:rsid w:val="00796381"/>
    <w:rsid w:val="007A7FB2"/>
    <w:rsid w:val="007D7E14"/>
    <w:rsid w:val="007F3A74"/>
    <w:rsid w:val="007F4CEF"/>
    <w:rsid w:val="00855A7F"/>
    <w:rsid w:val="0086391A"/>
    <w:rsid w:val="008A235F"/>
    <w:rsid w:val="009235D4"/>
    <w:rsid w:val="009A7330"/>
    <w:rsid w:val="009E7B42"/>
    <w:rsid w:val="00A549A9"/>
    <w:rsid w:val="00A66006"/>
    <w:rsid w:val="00A8307D"/>
    <w:rsid w:val="00A902E1"/>
    <w:rsid w:val="00A952FE"/>
    <w:rsid w:val="00AA472C"/>
    <w:rsid w:val="00AB07EF"/>
    <w:rsid w:val="00AB55A4"/>
    <w:rsid w:val="00AC20BB"/>
    <w:rsid w:val="00B05503"/>
    <w:rsid w:val="00B272B6"/>
    <w:rsid w:val="00B43861"/>
    <w:rsid w:val="00B451AE"/>
    <w:rsid w:val="00B508E2"/>
    <w:rsid w:val="00B70E8C"/>
    <w:rsid w:val="00B8026A"/>
    <w:rsid w:val="00BA3A53"/>
    <w:rsid w:val="00BD3984"/>
    <w:rsid w:val="00C22080"/>
    <w:rsid w:val="00C24E1B"/>
    <w:rsid w:val="00C40176"/>
    <w:rsid w:val="00C416D0"/>
    <w:rsid w:val="00C466AB"/>
    <w:rsid w:val="00C53F34"/>
    <w:rsid w:val="00C70020"/>
    <w:rsid w:val="00CA1DAC"/>
    <w:rsid w:val="00CC116A"/>
    <w:rsid w:val="00CD016F"/>
    <w:rsid w:val="00CE31FD"/>
    <w:rsid w:val="00CE5BA5"/>
    <w:rsid w:val="00D00F08"/>
    <w:rsid w:val="00D4130A"/>
    <w:rsid w:val="00D47457"/>
    <w:rsid w:val="00DB53CB"/>
    <w:rsid w:val="00DC59D9"/>
    <w:rsid w:val="00E329C9"/>
    <w:rsid w:val="00E3554C"/>
    <w:rsid w:val="00E37F83"/>
    <w:rsid w:val="00E42BD7"/>
    <w:rsid w:val="00E84CC2"/>
    <w:rsid w:val="00E86F35"/>
    <w:rsid w:val="00ED0CFD"/>
    <w:rsid w:val="00EE5451"/>
    <w:rsid w:val="00EF2424"/>
    <w:rsid w:val="00EF64BC"/>
    <w:rsid w:val="00F01D5E"/>
    <w:rsid w:val="00F3135D"/>
    <w:rsid w:val="00F461AF"/>
    <w:rsid w:val="00F55361"/>
    <w:rsid w:val="00F67AE6"/>
    <w:rsid w:val="00FA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99"/>
    <w:qFormat/>
    <w:rsid w:val="004B0F91"/>
    <w:pPr>
      <w:ind w:left="720"/>
      <w:contextualSpacing/>
    </w:pPr>
    <w:rPr>
      <w:lang w:bidi="ar-SA"/>
    </w:rPr>
  </w:style>
  <w:style w:type="paragraph" w:customStyle="1" w:styleId="legp1paratext1">
    <w:name w:val="legp1paratext1"/>
    <w:basedOn w:val="Normal"/>
    <w:rsid w:val="00A952FE"/>
    <w:pPr>
      <w:shd w:val="clear" w:color="auto" w:fill="FFFFFF"/>
      <w:spacing w:after="120" w:line="360" w:lineRule="atLeast"/>
      <w:ind w:firstLine="240"/>
      <w:jc w:val="both"/>
    </w:pPr>
    <w:rPr>
      <w:color w:val="494949"/>
      <w:sz w:val="19"/>
      <w:szCs w:val="19"/>
      <w:lang w:eastAsia="en-GB" w:bidi="ar-SA"/>
    </w:rPr>
  </w:style>
  <w:style w:type="character" w:customStyle="1" w:styleId="legamendquote1">
    <w:name w:val="legamendquote1"/>
    <w:basedOn w:val="DefaultParagraphFont"/>
    <w:rsid w:val="00A952FE"/>
    <w:rPr>
      <w:b w:val="0"/>
      <w:bCs w:val="0"/>
      <w:i w:val="0"/>
      <w:iCs w:val="0"/>
    </w:rPr>
  </w:style>
  <w:style w:type="character" w:customStyle="1" w:styleId="legp1no3">
    <w:name w:val="legp1no3"/>
    <w:basedOn w:val="DefaultParagraphFont"/>
    <w:rsid w:val="00A952FE"/>
    <w:rPr>
      <w:b/>
      <w:bCs/>
    </w:rPr>
  </w:style>
  <w:style w:type="paragraph" w:customStyle="1" w:styleId="legclearfix2">
    <w:name w:val="legclearfix2"/>
    <w:basedOn w:val="Normal"/>
    <w:rsid w:val="00A952FE"/>
    <w:pPr>
      <w:shd w:val="clear" w:color="auto" w:fill="FFFFFF"/>
      <w:spacing w:after="120" w:line="360" w:lineRule="atLeast"/>
    </w:pPr>
    <w:rPr>
      <w:color w:val="494949"/>
      <w:sz w:val="19"/>
      <w:szCs w:val="19"/>
      <w:lang w:eastAsia="en-GB" w:bidi="ar-SA"/>
    </w:rPr>
  </w:style>
  <w:style w:type="character" w:customStyle="1" w:styleId="legds2">
    <w:name w:val="legds2"/>
    <w:basedOn w:val="DefaultParagraphFont"/>
    <w:rsid w:val="00A952FE"/>
    <w:rPr>
      <w:vanish w:val="0"/>
      <w:webHidden w:val="0"/>
      <w:specVanish w:val="0"/>
    </w:rPr>
  </w:style>
  <w:style w:type="character" w:customStyle="1" w:styleId="legamendingtext">
    <w:name w:val="legamendingtext"/>
    <w:basedOn w:val="DefaultParagraphFont"/>
    <w:rsid w:val="00A95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99"/>
    <w:qFormat/>
    <w:rsid w:val="004B0F91"/>
    <w:pPr>
      <w:ind w:left="720"/>
      <w:contextualSpacing/>
    </w:pPr>
    <w:rPr>
      <w:lang w:bidi="ar-SA"/>
    </w:rPr>
  </w:style>
  <w:style w:type="paragraph" w:customStyle="1" w:styleId="legp1paratext1">
    <w:name w:val="legp1paratext1"/>
    <w:basedOn w:val="Normal"/>
    <w:rsid w:val="00A952FE"/>
    <w:pPr>
      <w:shd w:val="clear" w:color="auto" w:fill="FFFFFF"/>
      <w:spacing w:after="120" w:line="360" w:lineRule="atLeast"/>
      <w:ind w:firstLine="240"/>
      <w:jc w:val="both"/>
    </w:pPr>
    <w:rPr>
      <w:color w:val="494949"/>
      <w:sz w:val="19"/>
      <w:szCs w:val="19"/>
      <w:lang w:eastAsia="en-GB" w:bidi="ar-SA"/>
    </w:rPr>
  </w:style>
  <w:style w:type="character" w:customStyle="1" w:styleId="legamendquote1">
    <w:name w:val="legamendquote1"/>
    <w:basedOn w:val="DefaultParagraphFont"/>
    <w:rsid w:val="00A952FE"/>
    <w:rPr>
      <w:b w:val="0"/>
      <w:bCs w:val="0"/>
      <w:i w:val="0"/>
      <w:iCs w:val="0"/>
    </w:rPr>
  </w:style>
  <w:style w:type="character" w:customStyle="1" w:styleId="legp1no3">
    <w:name w:val="legp1no3"/>
    <w:basedOn w:val="DefaultParagraphFont"/>
    <w:rsid w:val="00A952FE"/>
    <w:rPr>
      <w:b/>
      <w:bCs/>
    </w:rPr>
  </w:style>
  <w:style w:type="paragraph" w:customStyle="1" w:styleId="legclearfix2">
    <w:name w:val="legclearfix2"/>
    <w:basedOn w:val="Normal"/>
    <w:rsid w:val="00A952FE"/>
    <w:pPr>
      <w:shd w:val="clear" w:color="auto" w:fill="FFFFFF"/>
      <w:spacing w:after="120" w:line="360" w:lineRule="atLeast"/>
    </w:pPr>
    <w:rPr>
      <w:color w:val="494949"/>
      <w:sz w:val="19"/>
      <w:szCs w:val="19"/>
      <w:lang w:eastAsia="en-GB" w:bidi="ar-SA"/>
    </w:rPr>
  </w:style>
  <w:style w:type="character" w:customStyle="1" w:styleId="legds2">
    <w:name w:val="legds2"/>
    <w:basedOn w:val="DefaultParagraphFont"/>
    <w:rsid w:val="00A952FE"/>
    <w:rPr>
      <w:vanish w:val="0"/>
      <w:webHidden w:val="0"/>
      <w:specVanish w:val="0"/>
    </w:rPr>
  </w:style>
  <w:style w:type="character" w:customStyle="1" w:styleId="legamendingtext">
    <w:name w:val="legamendingtext"/>
    <w:basedOn w:val="DefaultParagraphFont"/>
    <w:rsid w:val="00A9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1766</Words>
  <Characters>8948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Wood</dc:creator>
  <cp:lastModifiedBy>Kelly Barton</cp:lastModifiedBy>
  <cp:revision>2</cp:revision>
  <cp:lastPrinted>2013-04-08T14:25:00Z</cp:lastPrinted>
  <dcterms:created xsi:type="dcterms:W3CDTF">2013-05-15T09:43:00Z</dcterms:created>
  <dcterms:modified xsi:type="dcterms:W3CDTF">2013-05-15T09:43:00Z</dcterms:modified>
</cp:coreProperties>
</file>